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5E" w:rsidRPr="00710F93" w:rsidRDefault="00AA785E" w:rsidP="00595C57">
      <w:pPr>
        <w:jc w:val="center"/>
        <w:rPr>
          <w:b/>
          <w:sz w:val="36"/>
          <w:szCs w:val="36"/>
        </w:rPr>
      </w:pPr>
      <w:r w:rsidRPr="00710F93">
        <w:rPr>
          <w:b/>
          <w:sz w:val="36"/>
          <w:szCs w:val="36"/>
        </w:rPr>
        <w:t>Academic Affairs Report</w:t>
      </w:r>
    </w:p>
    <w:p w:rsidR="00595C57" w:rsidRPr="00710F93" w:rsidRDefault="003F508C" w:rsidP="00595C57">
      <w:pPr>
        <w:jc w:val="center"/>
        <w:rPr>
          <w:b/>
          <w:sz w:val="36"/>
          <w:szCs w:val="36"/>
        </w:rPr>
      </w:pPr>
      <w:r w:rsidRPr="00710F93">
        <w:rPr>
          <w:b/>
          <w:sz w:val="36"/>
          <w:szCs w:val="36"/>
        </w:rPr>
        <w:t>October</w:t>
      </w:r>
      <w:r w:rsidR="000C638F" w:rsidRPr="00710F93">
        <w:rPr>
          <w:b/>
          <w:sz w:val="36"/>
          <w:szCs w:val="36"/>
        </w:rPr>
        <w:t xml:space="preserve"> 20</w:t>
      </w:r>
      <w:r w:rsidR="001D1433" w:rsidRPr="00710F93">
        <w:rPr>
          <w:b/>
          <w:sz w:val="36"/>
          <w:szCs w:val="36"/>
        </w:rPr>
        <w:t>1</w:t>
      </w:r>
      <w:r w:rsidR="008F73E9">
        <w:rPr>
          <w:b/>
          <w:sz w:val="36"/>
          <w:szCs w:val="36"/>
        </w:rPr>
        <w:t>3</w:t>
      </w:r>
    </w:p>
    <w:p w:rsidR="00595C57" w:rsidRDefault="00595C57"/>
    <w:p w:rsidR="00F8664C" w:rsidRDefault="00F8664C"/>
    <w:p w:rsidR="00690809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jc w:val="center"/>
        <w:rPr>
          <w:b/>
          <w:sz w:val="28"/>
          <w:szCs w:val="28"/>
        </w:rPr>
      </w:pPr>
      <w:r w:rsidRPr="00710F93">
        <w:rPr>
          <w:b/>
          <w:sz w:val="28"/>
          <w:szCs w:val="28"/>
        </w:rPr>
        <w:t>INSTITUTIONAL DATA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10F93">
        <w:t xml:space="preserve">The following </w:t>
      </w:r>
      <w:r w:rsidR="000B2265" w:rsidRPr="00710F93">
        <w:t>information</w:t>
      </w:r>
      <w:r w:rsidRPr="00710F93">
        <w:t>, reported by the Registrar’s Office, reflects</w:t>
      </w:r>
      <w:r w:rsidR="000B2265" w:rsidRPr="00710F93">
        <w:t xml:space="preserve"> enrollment, retention, and graduation data as of the 6</w:t>
      </w:r>
      <w:r w:rsidR="000B2265" w:rsidRPr="00710F93">
        <w:rPr>
          <w:vertAlign w:val="superscript"/>
        </w:rPr>
        <w:t>th</w:t>
      </w:r>
      <w:r w:rsidR="000B2265" w:rsidRPr="00710F93">
        <w:t xml:space="preserve"> class day of the </w:t>
      </w:r>
      <w:proofErr w:type="gramStart"/>
      <w:r w:rsidR="000B2265" w:rsidRPr="00710F93">
        <w:t>Fall</w:t>
      </w:r>
      <w:proofErr w:type="gramEnd"/>
      <w:r w:rsidR="000B2265" w:rsidRPr="00710F93">
        <w:t xml:space="preserve"> 201</w:t>
      </w:r>
      <w:r w:rsidR="002D205C">
        <w:t>3</w:t>
      </w:r>
      <w:r w:rsidR="000B2265" w:rsidRPr="00710F93">
        <w:t xml:space="preserve"> term.</w:t>
      </w:r>
    </w:p>
    <w:p w:rsidR="000B2265" w:rsidRPr="00710F93" w:rsidRDefault="000B2265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sz w:val="28"/>
          <w:szCs w:val="28"/>
        </w:rPr>
      </w:pP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710F93">
        <w:rPr>
          <w:b/>
        </w:rPr>
        <w:t>All-College Enrollment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10F93">
        <w:t>Fall 201</w:t>
      </w:r>
      <w:r w:rsidR="008F73E9">
        <w:t>3</w:t>
      </w:r>
      <w:r w:rsidRPr="00710F93">
        <w:t xml:space="preserve"> </w:t>
      </w:r>
      <w:proofErr w:type="spellStart"/>
      <w:r w:rsidRPr="00710F93">
        <w:t>Matriculants</w:t>
      </w:r>
      <w:proofErr w:type="spellEnd"/>
      <w:r w:rsidRPr="00710F93">
        <w:tab/>
      </w:r>
      <w:r w:rsidRPr="00710F93">
        <w:tab/>
      </w:r>
      <w:r w:rsidR="008F73E9">
        <w:t>1163 (664 or 57% women, 499 or 43</w:t>
      </w:r>
      <w:r w:rsidR="006A6B5A">
        <w:t>% men)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10F93">
        <w:t>Fall 201</w:t>
      </w:r>
      <w:r w:rsidR="008F73E9">
        <w:t>3</w:t>
      </w:r>
      <w:r w:rsidRPr="00710F93">
        <w:t xml:space="preserve"> Student FTEs</w:t>
      </w:r>
      <w:r w:rsidRPr="00710F93">
        <w:tab/>
      </w:r>
      <w:r w:rsidRPr="00710F93">
        <w:rPr>
          <w:b/>
        </w:rPr>
        <w:tab/>
      </w:r>
      <w:r w:rsidR="008F73E9">
        <w:t>1160 (1158 full-time, 5</w:t>
      </w:r>
      <w:r w:rsidR="006A6B5A">
        <w:t xml:space="preserve"> part-time)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710F93">
        <w:rPr>
          <w:b/>
        </w:rPr>
        <w:t>Fall 201</w:t>
      </w:r>
      <w:r w:rsidR="008F73E9">
        <w:rPr>
          <w:b/>
        </w:rPr>
        <w:t>3</w:t>
      </w:r>
      <w:r w:rsidRPr="00710F93">
        <w:rPr>
          <w:b/>
        </w:rPr>
        <w:t xml:space="preserve"> Cohort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10F93">
        <w:t>Fall 201</w:t>
      </w:r>
      <w:r w:rsidR="008F73E9">
        <w:t>3</w:t>
      </w:r>
      <w:r w:rsidRPr="00710F93">
        <w:t xml:space="preserve"> Entering Cohort</w:t>
      </w:r>
      <w:r w:rsidRPr="00710F93">
        <w:tab/>
      </w:r>
      <w:r w:rsidRPr="00710F93">
        <w:tab/>
      </w:r>
      <w:r w:rsidR="008F73E9">
        <w:t>334 (198</w:t>
      </w:r>
      <w:r w:rsidR="006A6B5A">
        <w:t xml:space="preserve"> </w:t>
      </w:r>
      <w:r w:rsidR="008F73E9">
        <w:t>or 59</w:t>
      </w:r>
      <w:r w:rsidR="00904200">
        <w:t>%</w:t>
      </w:r>
      <w:r w:rsidR="00916006">
        <w:t xml:space="preserve"> </w:t>
      </w:r>
      <w:r w:rsidR="008F73E9">
        <w:t>women, 136</w:t>
      </w:r>
      <w:r w:rsidR="006A6B5A">
        <w:t xml:space="preserve"> </w:t>
      </w:r>
      <w:r w:rsidR="008F73E9">
        <w:t>or 41</w:t>
      </w:r>
      <w:r w:rsidR="00904200">
        <w:t xml:space="preserve">% </w:t>
      </w:r>
      <w:r w:rsidR="006A6B5A">
        <w:t>men)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10F93">
        <w:t>Fall 201</w:t>
      </w:r>
      <w:r w:rsidR="008F73E9">
        <w:t>3</w:t>
      </w:r>
      <w:r w:rsidRPr="00710F93">
        <w:t xml:space="preserve"> New Transfer Students</w:t>
      </w:r>
      <w:r w:rsidRPr="00710F93">
        <w:tab/>
      </w:r>
      <w:r w:rsidR="006A6B5A">
        <w:t>1</w:t>
      </w:r>
      <w:r w:rsidR="008F73E9">
        <w:t>5 (8 women, 7</w:t>
      </w:r>
      <w:r w:rsidR="006A6B5A">
        <w:t xml:space="preserve"> men)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10F93">
        <w:t>Fall 201</w:t>
      </w:r>
      <w:r w:rsidR="008F73E9">
        <w:t>3</w:t>
      </w:r>
      <w:r w:rsidRPr="00710F93">
        <w:t xml:space="preserve"> New Exchange Students</w:t>
      </w:r>
      <w:r w:rsidRPr="00710F93">
        <w:tab/>
      </w:r>
      <w:r w:rsidR="008F73E9">
        <w:t>1 (Spain</w:t>
      </w:r>
      <w:r w:rsidR="00916006">
        <w:t>)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10F93">
        <w:t>Fall 201</w:t>
      </w:r>
      <w:r w:rsidR="008F73E9">
        <w:t>3</w:t>
      </w:r>
      <w:r w:rsidRPr="00710F93">
        <w:t xml:space="preserve"> 12+ High School students</w:t>
      </w:r>
      <w:r w:rsidRPr="00710F93">
        <w:tab/>
      </w:r>
      <w:r w:rsidR="006A6B5A">
        <w:t>2</w:t>
      </w:r>
    </w:p>
    <w:p w:rsidR="00F922C2" w:rsidRPr="00710F93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922C2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710F93">
        <w:rPr>
          <w:b/>
        </w:rPr>
        <w:t>Four-Year Graduation Rates</w:t>
      </w:r>
    </w:p>
    <w:p w:rsidR="008F73E9" w:rsidRPr="008F73E9" w:rsidRDefault="008F73E9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Class of 2013 (Entered Fall 2009)</w:t>
      </w:r>
      <w:r>
        <w:tab/>
        <w:t>65%</w:t>
      </w:r>
    </w:p>
    <w:p w:rsidR="006C7EEB" w:rsidRDefault="006C7EEB" w:rsidP="00F922C2">
      <w:pPr>
        <w:tabs>
          <w:tab w:val="left" w:pos="2592"/>
        </w:tabs>
      </w:pPr>
      <w:r>
        <w:t>Class of 2012 (Entered Fall 2008)</w:t>
      </w:r>
      <w:r>
        <w:tab/>
      </w:r>
      <w:r w:rsidR="00A0274E">
        <w:t>66%</w:t>
      </w:r>
    </w:p>
    <w:p w:rsidR="00F922C2" w:rsidRPr="00710F93" w:rsidRDefault="00F922C2" w:rsidP="00F922C2">
      <w:pPr>
        <w:tabs>
          <w:tab w:val="left" w:pos="2592"/>
        </w:tabs>
      </w:pPr>
      <w:r w:rsidRPr="00710F93">
        <w:t>Class of 2011 (Entered Fall 2007)</w:t>
      </w:r>
      <w:r w:rsidRPr="00710F93">
        <w:tab/>
        <w:t>68%</w:t>
      </w:r>
    </w:p>
    <w:p w:rsidR="00F922C2" w:rsidRPr="00710F93" w:rsidRDefault="00F922C2" w:rsidP="00F922C2">
      <w:pPr>
        <w:tabs>
          <w:tab w:val="left" w:pos="2592"/>
        </w:tabs>
      </w:pPr>
      <w:r w:rsidRPr="00710F93">
        <w:t>Class of 2010 (Entered Fall 2006)</w:t>
      </w:r>
      <w:r w:rsidRPr="00710F93">
        <w:tab/>
        <w:t>63%</w:t>
      </w:r>
    </w:p>
    <w:p w:rsidR="00F922C2" w:rsidRPr="00710F93" w:rsidRDefault="00F922C2" w:rsidP="00F922C2">
      <w:pPr>
        <w:tabs>
          <w:tab w:val="left" w:pos="2592"/>
        </w:tabs>
      </w:pPr>
      <w:r w:rsidRPr="00710F93">
        <w:t>Class of 2009 (Entered Fall 2005)</w:t>
      </w:r>
      <w:r w:rsidRPr="00710F93">
        <w:tab/>
        <w:t>69%</w:t>
      </w:r>
    </w:p>
    <w:p w:rsidR="00F922C2" w:rsidRPr="00710F93" w:rsidRDefault="00F922C2" w:rsidP="00F922C2">
      <w:pPr>
        <w:tabs>
          <w:tab w:val="left" w:pos="2592"/>
        </w:tabs>
      </w:pPr>
      <w:r w:rsidRPr="00710F93">
        <w:t>Class of 2008 (Entered Fall 2004)</w:t>
      </w:r>
      <w:r w:rsidRPr="00710F93">
        <w:tab/>
        <w:t>62%</w:t>
      </w:r>
    </w:p>
    <w:p w:rsidR="00F922C2" w:rsidRPr="00710F93" w:rsidRDefault="008F73E9" w:rsidP="00F922C2">
      <w:pPr>
        <w:tabs>
          <w:tab w:val="left" w:pos="2592"/>
        </w:tabs>
      </w:pPr>
      <w:r>
        <w:t xml:space="preserve"> </w:t>
      </w:r>
    </w:p>
    <w:p w:rsidR="00F922C2" w:rsidRDefault="00F922C2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710F93">
        <w:rPr>
          <w:b/>
        </w:rPr>
        <w:t>First-Year Retention Rates (First-Year to Sophomore Year)</w:t>
      </w:r>
    </w:p>
    <w:p w:rsidR="008F73E9" w:rsidRPr="008F73E9" w:rsidRDefault="008F73E9" w:rsidP="00F922C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Class of 2016 (Entered Fall 2012)</w:t>
      </w:r>
      <w:r>
        <w:tab/>
        <w:t>81%</w:t>
      </w:r>
    </w:p>
    <w:p w:rsidR="006C7EEB" w:rsidRDefault="006C7EEB" w:rsidP="00F922C2">
      <w:pPr>
        <w:tabs>
          <w:tab w:val="left" w:pos="2592"/>
        </w:tabs>
      </w:pPr>
      <w:r>
        <w:t>Class of 2015 (Entered Fal</w:t>
      </w:r>
      <w:r w:rsidR="006A6B5A">
        <w:t>l</w:t>
      </w:r>
      <w:r>
        <w:t xml:space="preserve"> 2011)</w:t>
      </w:r>
      <w:r>
        <w:tab/>
      </w:r>
      <w:r w:rsidR="006A6B5A">
        <w:t>83%</w:t>
      </w:r>
    </w:p>
    <w:p w:rsidR="00F922C2" w:rsidRPr="00710F93" w:rsidRDefault="00F922C2" w:rsidP="00F922C2">
      <w:pPr>
        <w:tabs>
          <w:tab w:val="left" w:pos="2592"/>
        </w:tabs>
      </w:pPr>
      <w:r w:rsidRPr="00710F93">
        <w:t>Class of 2014 (Entered Fall 2010)</w:t>
      </w:r>
      <w:r w:rsidRPr="00710F93">
        <w:tab/>
        <w:t>80%</w:t>
      </w:r>
    </w:p>
    <w:p w:rsidR="00F922C2" w:rsidRPr="00710F93" w:rsidRDefault="00F922C2" w:rsidP="00F922C2">
      <w:pPr>
        <w:tabs>
          <w:tab w:val="left" w:pos="2592"/>
        </w:tabs>
      </w:pPr>
      <w:r w:rsidRPr="00710F93">
        <w:t>Class of 2013 (Entered Fall 2009)</w:t>
      </w:r>
      <w:r w:rsidRPr="00710F93">
        <w:tab/>
        <w:t>81%</w:t>
      </w:r>
    </w:p>
    <w:p w:rsidR="00F922C2" w:rsidRPr="00710F93" w:rsidRDefault="00F922C2" w:rsidP="00F922C2">
      <w:pPr>
        <w:tabs>
          <w:tab w:val="left" w:pos="2592"/>
        </w:tabs>
      </w:pPr>
      <w:r w:rsidRPr="00710F93">
        <w:t>Class of 2012 (Entered Fall 2008)</w:t>
      </w:r>
      <w:r w:rsidRPr="00710F93">
        <w:tab/>
        <w:t>80%</w:t>
      </w:r>
    </w:p>
    <w:p w:rsidR="00F922C2" w:rsidRPr="00710F93" w:rsidRDefault="00F922C2" w:rsidP="00F922C2">
      <w:pPr>
        <w:tabs>
          <w:tab w:val="left" w:pos="2592"/>
        </w:tabs>
      </w:pPr>
      <w:r w:rsidRPr="00710F93">
        <w:t>Class of 2011 (Entered Fall 2007)</w:t>
      </w:r>
      <w:r w:rsidRPr="00710F93">
        <w:tab/>
        <w:t>83%</w:t>
      </w:r>
    </w:p>
    <w:p w:rsidR="00F922C2" w:rsidRPr="00710F93" w:rsidRDefault="00F922C2" w:rsidP="003A0E5C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3C7B88" w:rsidRPr="00710F93" w:rsidRDefault="003C7B88" w:rsidP="003C7B88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710F93">
        <w:rPr>
          <w:b/>
        </w:rPr>
        <w:t>Student/Faculty Ratio</w:t>
      </w:r>
    </w:p>
    <w:p w:rsidR="000B2265" w:rsidRPr="00710F93" w:rsidRDefault="000B2265" w:rsidP="003A0E5C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10F93">
        <w:t xml:space="preserve">The ratio </w:t>
      </w:r>
      <w:r w:rsidR="009A7D47">
        <w:t xml:space="preserve">of the Student FTE to the Faculty FTE is </w:t>
      </w:r>
      <w:r w:rsidRPr="00710F93">
        <w:t>a necessary but somewhat artificial metric that reflects data from a single moment</w:t>
      </w:r>
      <w:r w:rsidR="00B96EB7">
        <w:t xml:space="preserve">:  </w:t>
      </w:r>
      <w:r w:rsidRPr="00710F93">
        <w:t xml:space="preserve">the </w:t>
      </w:r>
      <w:r w:rsidR="00AC0452">
        <w:t xml:space="preserve">numbers of students and faculty in classrooms on the </w:t>
      </w:r>
      <w:r w:rsidRPr="00710F93">
        <w:t>6</w:t>
      </w:r>
      <w:r w:rsidRPr="00710F93">
        <w:rPr>
          <w:vertAlign w:val="superscript"/>
        </w:rPr>
        <w:t>th</w:t>
      </w:r>
      <w:r w:rsidRPr="00710F93">
        <w:t xml:space="preserve"> class day</w:t>
      </w:r>
      <w:r w:rsidR="009A7D47">
        <w:t xml:space="preserve"> of the Fall Term</w:t>
      </w:r>
      <w:r w:rsidRPr="00710F93">
        <w:t xml:space="preserve">.  </w:t>
      </w:r>
      <w:r w:rsidR="009A7D47">
        <w:t>The ratio do</w:t>
      </w:r>
      <w:r w:rsidR="006C7EEB">
        <w:t xml:space="preserve">es not </w:t>
      </w:r>
      <w:r w:rsidR="002B4657" w:rsidRPr="00710F93">
        <w:t>reflect faculty under contract</w:t>
      </w:r>
      <w:r w:rsidR="005E47D7" w:rsidRPr="00710F93">
        <w:t xml:space="preserve"> throughout the academic year</w:t>
      </w:r>
      <w:r w:rsidR="009A7D47">
        <w:t xml:space="preserve">, nor does it reveal </w:t>
      </w:r>
      <w:r w:rsidR="002B4657" w:rsidRPr="00710F93">
        <w:t>much about average class size.</w:t>
      </w:r>
      <w:r w:rsidR="00DC6CD1" w:rsidRPr="00710F93">
        <w:t xml:space="preserve">  That said, the ratio is still a useful convention</w:t>
      </w:r>
      <w:r w:rsidR="009A7D47">
        <w:t>,</w:t>
      </w:r>
      <w:r w:rsidR="00DC6CD1" w:rsidRPr="00710F93">
        <w:t xml:space="preserve"> and </w:t>
      </w:r>
      <w:r w:rsidR="006C7EEB">
        <w:t>it</w:t>
      </w:r>
      <w:r w:rsidR="00904200">
        <w:t xml:space="preserve"> </w:t>
      </w:r>
      <w:r w:rsidR="00DC6CD1" w:rsidRPr="00710F93">
        <w:t>figures in the Strategic Plan, where a 13/1 ratio is the institutional goal.</w:t>
      </w:r>
    </w:p>
    <w:p w:rsidR="005E47D7" w:rsidRPr="00710F93" w:rsidRDefault="005E47D7" w:rsidP="003A0E5C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AC0452" w:rsidRDefault="001862C2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Fall 2013</w:t>
      </w:r>
      <w:r w:rsidR="009A7D47">
        <w:t xml:space="preserve"> Student FTE</w:t>
      </w:r>
      <w:r w:rsidR="00C471CC">
        <w:t>:</w:t>
      </w:r>
      <w:r w:rsidR="00C471CC">
        <w:tab/>
      </w:r>
      <w:r w:rsidR="009A7D47">
        <w:t>1</w:t>
      </w:r>
      <w:r w:rsidR="00EE7373">
        <w:t>1</w:t>
      </w:r>
      <w:r>
        <w:t>60</w:t>
      </w:r>
      <w:r w:rsidR="00AC0452">
        <w:t>.</w:t>
      </w:r>
    </w:p>
    <w:p w:rsidR="00AC0452" w:rsidRDefault="001862C2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Fall 2013 Faculty FTE</w:t>
      </w:r>
      <w:r w:rsidR="00C471CC">
        <w:t>:</w:t>
      </w:r>
      <w:r w:rsidR="00C471CC">
        <w:tab/>
      </w:r>
      <w:r>
        <w:t>98.08</w:t>
      </w:r>
      <w:r w:rsidR="00AC0452">
        <w:t>.</w:t>
      </w:r>
    </w:p>
    <w:p w:rsidR="00AC0452" w:rsidRDefault="001862C2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 xml:space="preserve">Fall 2013 </w:t>
      </w:r>
      <w:r w:rsidR="00AC0452">
        <w:t xml:space="preserve">S/F </w:t>
      </w:r>
      <w:r>
        <w:t>ratio</w:t>
      </w:r>
      <w:r w:rsidR="00C471CC">
        <w:t>:</w:t>
      </w:r>
      <w:r w:rsidR="00C471CC">
        <w:tab/>
      </w:r>
      <w:r w:rsidR="00C471CC">
        <w:tab/>
      </w:r>
      <w:r w:rsidRPr="00AC0452">
        <w:rPr>
          <w:b/>
        </w:rPr>
        <w:t>11.83/1</w:t>
      </w:r>
    </w:p>
    <w:p w:rsidR="00AC0452" w:rsidRDefault="00AC0452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C471CC" w:rsidRDefault="009A7D47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lastRenderedPageBreak/>
        <w:t xml:space="preserve">By comparison </w:t>
      </w:r>
      <w:r w:rsidR="00904200">
        <w:t xml:space="preserve">the </w:t>
      </w:r>
      <w:r w:rsidR="00F8664C">
        <w:t xml:space="preserve">s/f </w:t>
      </w:r>
      <w:r w:rsidR="001862C2">
        <w:t>ratio in recent years has been:</w:t>
      </w:r>
    </w:p>
    <w:p w:rsidR="00F8664C" w:rsidRDefault="00F8664C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C471CC" w:rsidRDefault="00B855D9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Fall 2010</w:t>
      </w:r>
      <w:r w:rsidR="00C471CC">
        <w:t>:</w:t>
      </w:r>
      <w:r w:rsidR="00C471CC">
        <w:tab/>
      </w:r>
      <w:r>
        <w:t>10.9/1</w:t>
      </w:r>
    </w:p>
    <w:p w:rsidR="00C471CC" w:rsidRDefault="006C7EEB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Fall 2011</w:t>
      </w:r>
      <w:r w:rsidR="00C471CC">
        <w:t>:</w:t>
      </w:r>
      <w:r w:rsidR="00C471CC">
        <w:tab/>
      </w:r>
      <w:r w:rsidR="009A7D47">
        <w:t>11.78</w:t>
      </w:r>
      <w:r w:rsidR="00C471CC">
        <w:t>/1</w:t>
      </w:r>
    </w:p>
    <w:p w:rsidR="000B2265" w:rsidRPr="00710F93" w:rsidRDefault="001862C2" w:rsidP="000B226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Fall 2012</w:t>
      </w:r>
      <w:r w:rsidR="00C471CC">
        <w:tab/>
      </w:r>
      <w:r>
        <w:t>11.5/1</w:t>
      </w:r>
    </w:p>
    <w:p w:rsidR="005E47D7" w:rsidRPr="00710F93" w:rsidRDefault="005E47D7" w:rsidP="003A0E5C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5E47D7" w:rsidRPr="00721D10" w:rsidRDefault="005E47D7" w:rsidP="005E47D7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jc w:val="center"/>
        <w:rPr>
          <w:b/>
          <w:sz w:val="28"/>
          <w:szCs w:val="28"/>
        </w:rPr>
      </w:pPr>
      <w:r w:rsidRPr="00721D10">
        <w:rPr>
          <w:b/>
          <w:sz w:val="28"/>
          <w:szCs w:val="28"/>
        </w:rPr>
        <w:t>NSSE DATA</w:t>
      </w:r>
    </w:p>
    <w:p w:rsidR="00916006" w:rsidRDefault="00955286" w:rsidP="008C4BAF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721D10">
        <w:t>201</w:t>
      </w:r>
      <w:r w:rsidR="00C471CC" w:rsidRPr="00721D10">
        <w:t>3</w:t>
      </w:r>
      <w:r w:rsidRPr="00721D10">
        <w:t xml:space="preserve"> marks at least the 1</w:t>
      </w:r>
      <w:r w:rsidR="00C471CC" w:rsidRPr="00721D10">
        <w:t>2</w:t>
      </w:r>
      <w:r w:rsidRPr="00721D10">
        <w:rPr>
          <w:vertAlign w:val="superscript"/>
        </w:rPr>
        <w:t>th</w:t>
      </w:r>
      <w:r w:rsidRPr="00721D10">
        <w:t xml:space="preserve"> year in which Hanover has participated in the National Survey of Student Engagement (NSSE).  </w:t>
      </w:r>
      <w:r w:rsidR="00721D10">
        <w:t xml:space="preserve">Academic Affairs typically reports on selected data in the October report, but I failed to collect it in a timely manner this year.  The information from the </w:t>
      </w:r>
      <w:proofErr w:type="gramStart"/>
      <w:r w:rsidR="00721D10">
        <w:t>Spring</w:t>
      </w:r>
      <w:proofErr w:type="gramEnd"/>
      <w:r w:rsidR="00721D10">
        <w:t xml:space="preserve"> 2013 administration of the survey will be included in my February report.</w:t>
      </w:r>
    </w:p>
    <w:p w:rsidR="00421DBC" w:rsidRDefault="00421DBC">
      <w:pPr>
        <w:rPr>
          <w:b/>
          <w:sz w:val="28"/>
          <w:szCs w:val="28"/>
        </w:rPr>
      </w:pPr>
    </w:p>
    <w:p w:rsidR="00F8664C" w:rsidRDefault="00F8664C">
      <w:pPr>
        <w:rPr>
          <w:b/>
          <w:sz w:val="28"/>
          <w:szCs w:val="28"/>
        </w:rPr>
      </w:pPr>
    </w:p>
    <w:p w:rsidR="0062135B" w:rsidRPr="00710F93" w:rsidRDefault="00421DBC" w:rsidP="00BF1A5A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RECENT ACTIVITIES</w:t>
      </w:r>
    </w:p>
    <w:p w:rsidR="0062135B" w:rsidRPr="00710F93" w:rsidRDefault="0062135B" w:rsidP="0062135B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F67E9" w:rsidRDefault="00FF67E9" w:rsidP="00FF67E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864" w:hanging="864"/>
        <w:rPr>
          <w:b/>
        </w:rPr>
      </w:pPr>
      <w:r>
        <w:rPr>
          <w:b/>
        </w:rPr>
        <w:t>Newby Hall Renovation</w:t>
      </w:r>
    </w:p>
    <w:p w:rsidR="00FF67E9" w:rsidRDefault="00FF67E9" w:rsidP="00FF67E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In October 2012 I reported on the Department of Education’s use of a $50,000 gift from Don Mount (HC ’50)</w:t>
      </w:r>
      <w:r w:rsidR="00D85D45">
        <w:t xml:space="preserve"> </w:t>
      </w:r>
      <w:r>
        <w:t xml:space="preserve">to renovate the east end of Newby Hall, creating a Model Technology Classroom and a Technology Resource Center.  </w:t>
      </w:r>
      <w:r w:rsidR="009743CF">
        <w:t xml:space="preserve">With the help of Physical Plant staff, EDU has since </w:t>
      </w:r>
      <w:r w:rsidR="00D85D45">
        <w:t xml:space="preserve">used remaining funds to extend renovations to </w:t>
      </w:r>
      <w:r w:rsidR="009743CF">
        <w:t>the west wing of the building.</w:t>
      </w:r>
    </w:p>
    <w:p w:rsidR="00FF67E9" w:rsidRDefault="00FF67E9" w:rsidP="00FF67E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F67E9" w:rsidRPr="008C4342" w:rsidRDefault="00FF67E9" w:rsidP="00FF67E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8C4342">
        <w:rPr>
          <w:b/>
        </w:rPr>
        <w:t xml:space="preserve">Business Scholars </w:t>
      </w:r>
      <w:r w:rsidR="009743CF">
        <w:rPr>
          <w:b/>
        </w:rPr>
        <w:t xml:space="preserve">Furniture </w:t>
      </w:r>
      <w:r w:rsidRPr="008C4342">
        <w:rPr>
          <w:b/>
        </w:rPr>
        <w:t>Gift</w:t>
      </w:r>
    </w:p>
    <w:p w:rsidR="00FF67E9" w:rsidRDefault="009743CF" w:rsidP="00FF67E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 xml:space="preserve">In October 2012 I also reported on a </w:t>
      </w:r>
      <w:r w:rsidR="00FF67E9">
        <w:t xml:space="preserve">generous gift enabling a significant </w:t>
      </w:r>
      <w:r>
        <w:t xml:space="preserve">technology </w:t>
      </w:r>
      <w:r w:rsidR="00FF67E9">
        <w:t>upgrade of a classroom in the Science Center</w:t>
      </w:r>
      <w:r>
        <w:t xml:space="preserve">.  Additional gifts to BSP in </w:t>
      </w:r>
      <w:proofErr w:type="gramStart"/>
      <w:r>
        <w:t>Spring</w:t>
      </w:r>
      <w:proofErr w:type="gramEnd"/>
      <w:r>
        <w:t xml:space="preserve"> and Summer 2013, along with funds from the Academic Affairs gift account, have enabled the refurnishing of th</w:t>
      </w:r>
      <w:r w:rsidR="00D85D45">
        <w:t>at</w:t>
      </w:r>
      <w:r>
        <w:t xml:space="preserve"> classroom.</w:t>
      </w:r>
    </w:p>
    <w:p w:rsidR="00FF67E9" w:rsidRPr="00904200" w:rsidRDefault="00FF67E9" w:rsidP="00FF67E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F67E9" w:rsidRPr="00710F93" w:rsidRDefault="009743CF" w:rsidP="00FF67E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864" w:hanging="864"/>
        <w:rPr>
          <w:b/>
        </w:rPr>
      </w:pPr>
      <w:r>
        <w:rPr>
          <w:b/>
        </w:rPr>
        <w:t>Ken and Kendal Gladish Center for Teaching and Learning</w:t>
      </w:r>
    </w:p>
    <w:p w:rsidR="00FF67E9" w:rsidRDefault="00FF67E9" w:rsidP="00FF67E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 w:rsidRPr="00AB689C">
        <w:t xml:space="preserve">In November 2012 the </w:t>
      </w:r>
      <w:r w:rsidR="009743CF">
        <w:t xml:space="preserve">former </w:t>
      </w:r>
      <w:r w:rsidRPr="00AB689C">
        <w:t xml:space="preserve">Learning Center </w:t>
      </w:r>
      <w:r w:rsidR="00D85D45">
        <w:t xml:space="preserve">vacated </w:t>
      </w:r>
      <w:r w:rsidR="009743CF">
        <w:t xml:space="preserve">its quarters on the </w:t>
      </w:r>
      <w:r w:rsidRPr="00AB689C">
        <w:t xml:space="preserve">top floor of the Brown Campus Center </w:t>
      </w:r>
      <w:r>
        <w:t xml:space="preserve">for a 1,700 </w:t>
      </w:r>
      <w:proofErr w:type="spellStart"/>
      <w:r>
        <w:t>sf</w:t>
      </w:r>
      <w:proofErr w:type="spellEnd"/>
      <w:r>
        <w:t xml:space="preserve"> home in the former Technical Services Area of Duggan Library.  Th</w:t>
      </w:r>
      <w:r w:rsidR="009743CF">
        <w:t xml:space="preserve">is new home for peer tutoring, disability services, instructional technology support, and library instruction will </w:t>
      </w:r>
      <w:r w:rsidR="00DD01F7">
        <w:t xml:space="preserve">be </w:t>
      </w:r>
      <w:r w:rsidR="009743CF">
        <w:t xml:space="preserve">dedicated this October as the </w:t>
      </w:r>
      <w:r w:rsidR="009743CF" w:rsidRPr="00DD01F7">
        <w:rPr>
          <w:i/>
        </w:rPr>
        <w:t>Ken and Kendal Gladish Center for Teaching and Learning</w:t>
      </w:r>
      <w:r w:rsidR="009743CF">
        <w:t>.</w:t>
      </w:r>
    </w:p>
    <w:p w:rsidR="0062670A" w:rsidRPr="00904200" w:rsidRDefault="0062670A" w:rsidP="0062670A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62670A" w:rsidRPr="004B3DD2" w:rsidRDefault="0062670A" w:rsidP="0062670A">
      <w:pPr>
        <w:rPr>
          <w:rFonts w:eastAsiaTheme="minorHAnsi" w:cstheme="minorBidi"/>
          <w:b/>
          <w:szCs w:val="22"/>
        </w:rPr>
      </w:pPr>
      <w:r w:rsidRPr="004B3DD2">
        <w:rPr>
          <w:rFonts w:eastAsiaTheme="minorHAnsi" w:cstheme="minorBidi"/>
          <w:b/>
          <w:szCs w:val="22"/>
        </w:rPr>
        <w:t>R</w:t>
      </w:r>
      <w:r>
        <w:rPr>
          <w:rFonts w:eastAsiaTheme="minorHAnsi" w:cstheme="minorBidi"/>
          <w:b/>
          <w:szCs w:val="22"/>
        </w:rPr>
        <w:t>enewal of Richter Funding</w:t>
      </w:r>
    </w:p>
    <w:p w:rsidR="0062670A" w:rsidRDefault="00212E14" w:rsidP="0062670A">
      <w:pPr>
        <w:rPr>
          <w:rFonts w:eastAsiaTheme="minorHAnsi" w:cstheme="minorBidi"/>
          <w:szCs w:val="22"/>
        </w:rPr>
      </w:pPr>
      <w:r>
        <w:t xml:space="preserve">In October 2011 </w:t>
      </w:r>
      <w:r w:rsidR="00DD01F7">
        <w:t xml:space="preserve">the trustees of the Paul K. Richter Memorial Fund and the </w:t>
      </w:r>
      <w:proofErr w:type="spellStart"/>
      <w:r w:rsidR="00DD01F7">
        <w:t>Evalyn</w:t>
      </w:r>
      <w:proofErr w:type="spellEnd"/>
      <w:r w:rsidR="00DD01F7">
        <w:t xml:space="preserve"> E. Cook Richter Memorial Fund</w:t>
      </w:r>
      <w:r w:rsidR="00DD01F7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>provided $63,620 in funding for 2011-2012, which enabled seventeen students to pursue i</w:t>
      </w:r>
      <w:r w:rsidR="00DD01F7">
        <w:rPr>
          <w:rFonts w:eastAsiaTheme="minorHAnsi" w:cstheme="minorBidi"/>
          <w:szCs w:val="22"/>
        </w:rPr>
        <w:t xml:space="preserve">ndependent learning projects outside the range of the </w:t>
      </w:r>
      <w:r>
        <w:rPr>
          <w:rFonts w:eastAsiaTheme="minorHAnsi" w:cstheme="minorBidi"/>
          <w:szCs w:val="22"/>
        </w:rPr>
        <w:t xml:space="preserve">curriculum and the </w:t>
      </w:r>
      <w:r w:rsidR="00DD01F7">
        <w:rPr>
          <w:rFonts w:eastAsiaTheme="minorHAnsi" w:cstheme="minorBidi"/>
          <w:szCs w:val="22"/>
        </w:rPr>
        <w:t xml:space="preserve">typical classroom </w:t>
      </w:r>
      <w:r>
        <w:rPr>
          <w:rFonts w:eastAsiaTheme="minorHAnsi" w:cstheme="minorBidi"/>
          <w:szCs w:val="22"/>
        </w:rPr>
        <w:t xml:space="preserve">experience.  The Richter Trusts renewed funding for 2012-2013, providing an </w:t>
      </w:r>
      <w:r w:rsidR="00DD01F7">
        <w:rPr>
          <w:rFonts w:eastAsiaTheme="minorHAnsi" w:cstheme="minorBidi"/>
          <w:szCs w:val="22"/>
        </w:rPr>
        <w:t xml:space="preserve">additional $64,000 </w:t>
      </w:r>
      <w:r>
        <w:rPr>
          <w:rFonts w:eastAsiaTheme="minorHAnsi" w:cstheme="minorBidi"/>
          <w:szCs w:val="22"/>
        </w:rPr>
        <w:t xml:space="preserve">that supported </w:t>
      </w:r>
      <w:r w:rsidR="00E900DB">
        <w:rPr>
          <w:rFonts w:eastAsiaTheme="minorHAnsi" w:cstheme="minorBidi"/>
          <w:szCs w:val="22"/>
        </w:rPr>
        <w:t>18</w:t>
      </w:r>
      <w:r w:rsidR="00DD01F7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 xml:space="preserve">student </w:t>
      </w:r>
      <w:r w:rsidR="00DD01F7">
        <w:rPr>
          <w:rFonts w:eastAsiaTheme="minorHAnsi" w:cstheme="minorBidi"/>
          <w:szCs w:val="22"/>
        </w:rPr>
        <w:t>projects.</w:t>
      </w:r>
      <w:r>
        <w:rPr>
          <w:rFonts w:eastAsiaTheme="minorHAnsi" w:cstheme="minorBidi"/>
          <w:szCs w:val="22"/>
        </w:rPr>
        <w:t xml:space="preserve">  Funding for the program has now been renewed for a third year, again with $64,000.</w:t>
      </w:r>
    </w:p>
    <w:p w:rsidR="0062670A" w:rsidRDefault="0062670A" w:rsidP="0062670A">
      <w:pPr>
        <w:rPr>
          <w:rFonts w:eastAsiaTheme="minorHAnsi" w:cstheme="minorBidi"/>
          <w:szCs w:val="22"/>
        </w:rPr>
      </w:pPr>
    </w:p>
    <w:p w:rsidR="0062670A" w:rsidRDefault="00DD01F7" w:rsidP="0062670A">
      <w:pPr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Health and Biomedical Scholars Program</w:t>
      </w:r>
    </w:p>
    <w:p w:rsidR="00E86222" w:rsidRDefault="00E86222" w:rsidP="00E86222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Information on the HBSP, including a registration form for students interested in health-related careers, is now available on the Hanover website:  </w:t>
      </w:r>
      <w:hyperlink r:id="rId7" w:history="1">
        <w:r w:rsidRPr="00A12173">
          <w:rPr>
            <w:rStyle w:val="Hyperlink"/>
            <w:rFonts w:eastAsiaTheme="minorHAnsi" w:cstheme="minorBidi"/>
            <w:szCs w:val="22"/>
          </w:rPr>
          <w:t>http://prehealth.hanover.edu/</w:t>
        </w:r>
      </w:hyperlink>
      <w:r>
        <w:rPr>
          <w:rFonts w:eastAsiaTheme="minorHAnsi" w:cstheme="minorBidi"/>
          <w:szCs w:val="22"/>
        </w:rPr>
        <w:t xml:space="preserve">.  </w:t>
      </w:r>
    </w:p>
    <w:p w:rsidR="00212E14" w:rsidRDefault="00212E14" w:rsidP="00E86222">
      <w:pPr>
        <w:rPr>
          <w:rFonts w:eastAsiaTheme="minorHAnsi" w:cstheme="minorBidi"/>
          <w:szCs w:val="22"/>
        </w:rPr>
      </w:pPr>
    </w:p>
    <w:p w:rsidR="00E86222" w:rsidRDefault="00E86222" w:rsidP="0062670A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lastRenderedPageBreak/>
        <w:t xml:space="preserve">The </w:t>
      </w:r>
      <w:r>
        <w:t xml:space="preserve">Medical Scholars Externship program, piloted in </w:t>
      </w:r>
      <w:proofErr w:type="gramStart"/>
      <w:r>
        <w:t>Winter</w:t>
      </w:r>
      <w:proofErr w:type="gramEnd"/>
      <w:r>
        <w:t xml:space="preserve"> 2013 with the assistance of alumnus Dr. Travis Clegg of </w:t>
      </w:r>
      <w:r>
        <w:rPr>
          <w:rFonts w:eastAsiaTheme="minorHAnsi" w:cstheme="minorBidi"/>
          <w:szCs w:val="22"/>
        </w:rPr>
        <w:t xml:space="preserve">the local King’s Daughters’ Hospital, continues in 2013-2014 as a ten-week </w:t>
      </w:r>
      <w:r w:rsidR="001A1858">
        <w:rPr>
          <w:rFonts w:eastAsiaTheme="minorHAnsi" w:cstheme="minorBidi"/>
          <w:szCs w:val="22"/>
        </w:rPr>
        <w:t xml:space="preserve">shadowing experience modeled on clinical rotations in medical school.  Seventeen </w:t>
      </w:r>
      <w:r>
        <w:rPr>
          <w:rFonts w:eastAsiaTheme="minorHAnsi" w:cstheme="minorBidi"/>
          <w:szCs w:val="22"/>
        </w:rPr>
        <w:t xml:space="preserve">area physicians and health professionals </w:t>
      </w:r>
      <w:r w:rsidR="001A1858">
        <w:rPr>
          <w:rFonts w:eastAsiaTheme="minorHAnsi" w:cstheme="minorBidi"/>
          <w:szCs w:val="22"/>
        </w:rPr>
        <w:t>are participating in the program.</w:t>
      </w:r>
    </w:p>
    <w:p w:rsidR="001A1858" w:rsidRDefault="001A1858" w:rsidP="0062670A">
      <w:pPr>
        <w:rPr>
          <w:rFonts w:eastAsiaTheme="minorHAnsi" w:cstheme="minorBidi"/>
          <w:szCs w:val="22"/>
        </w:rPr>
      </w:pPr>
    </w:p>
    <w:p w:rsidR="001A1858" w:rsidRDefault="001A1858" w:rsidP="0062670A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The 2013-2014 speaker series commences on October 24 with “Pediatric Intensive Care,” a talk by Dr. Michael J. Hobson (HC ’00), a graduate of the IU School of Medicine and an attending physician at Riley Hospital for Children in Indianapolis.</w:t>
      </w:r>
    </w:p>
    <w:p w:rsidR="00E86222" w:rsidRDefault="00E86222" w:rsidP="0062670A">
      <w:pPr>
        <w:rPr>
          <w:rFonts w:eastAsiaTheme="minorHAnsi" w:cstheme="minorBidi"/>
          <w:szCs w:val="22"/>
        </w:rPr>
      </w:pPr>
    </w:p>
    <w:p w:rsidR="0062670A" w:rsidRDefault="001A1858" w:rsidP="0062670A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I regret to say that </w:t>
      </w:r>
      <w:r w:rsidR="00212E14">
        <w:rPr>
          <w:rFonts w:eastAsiaTheme="minorHAnsi" w:cstheme="minorBidi"/>
          <w:szCs w:val="22"/>
        </w:rPr>
        <w:t xml:space="preserve">at the end of </w:t>
      </w:r>
      <w:r w:rsidR="00F13342">
        <w:rPr>
          <w:rFonts w:eastAsiaTheme="minorHAnsi" w:cstheme="minorBidi"/>
          <w:szCs w:val="22"/>
        </w:rPr>
        <w:t>AY</w:t>
      </w:r>
      <w:r w:rsidR="00212E14">
        <w:rPr>
          <w:rFonts w:eastAsiaTheme="minorHAnsi" w:cstheme="minorBidi"/>
          <w:szCs w:val="22"/>
        </w:rPr>
        <w:t xml:space="preserve"> 2013-2014 </w:t>
      </w:r>
      <w:r w:rsidR="00721D10">
        <w:rPr>
          <w:rFonts w:eastAsiaTheme="minorHAnsi" w:cstheme="minorBidi"/>
          <w:szCs w:val="22"/>
        </w:rPr>
        <w:t xml:space="preserve">Luke Starnes, Assistant Professor of Biology and Director of the HBSP, </w:t>
      </w:r>
      <w:r>
        <w:rPr>
          <w:rFonts w:eastAsiaTheme="minorHAnsi" w:cstheme="minorBidi"/>
          <w:szCs w:val="22"/>
        </w:rPr>
        <w:t>will be leaving Hanover</w:t>
      </w:r>
      <w:r w:rsidR="00212E14">
        <w:rPr>
          <w:rFonts w:eastAsiaTheme="minorHAnsi" w:cstheme="minorBidi"/>
          <w:szCs w:val="22"/>
        </w:rPr>
        <w:t xml:space="preserve">, and </w:t>
      </w:r>
      <w:r w:rsidR="00E3206A">
        <w:rPr>
          <w:rFonts w:eastAsiaTheme="minorHAnsi" w:cstheme="minorBidi"/>
          <w:szCs w:val="22"/>
        </w:rPr>
        <w:t xml:space="preserve">leaving </w:t>
      </w:r>
      <w:r w:rsidR="00212E14">
        <w:rPr>
          <w:rFonts w:eastAsiaTheme="minorHAnsi" w:cstheme="minorBidi"/>
          <w:szCs w:val="22"/>
        </w:rPr>
        <w:t xml:space="preserve">teaching, </w:t>
      </w:r>
      <w:r w:rsidR="00E3206A">
        <w:rPr>
          <w:rFonts w:eastAsiaTheme="minorHAnsi" w:cstheme="minorBidi"/>
          <w:szCs w:val="22"/>
        </w:rPr>
        <w:t xml:space="preserve">in order to </w:t>
      </w:r>
      <w:r>
        <w:rPr>
          <w:rFonts w:eastAsiaTheme="minorHAnsi" w:cstheme="minorBidi"/>
          <w:szCs w:val="22"/>
        </w:rPr>
        <w:t xml:space="preserve">pursue </w:t>
      </w:r>
      <w:r w:rsidR="00212E14">
        <w:rPr>
          <w:rFonts w:eastAsiaTheme="minorHAnsi" w:cstheme="minorBidi"/>
          <w:szCs w:val="22"/>
        </w:rPr>
        <w:t>a health-related career</w:t>
      </w:r>
      <w:r w:rsidR="00E3206A">
        <w:rPr>
          <w:rFonts w:eastAsiaTheme="minorHAnsi" w:cstheme="minorBidi"/>
          <w:szCs w:val="22"/>
        </w:rPr>
        <w:t xml:space="preserve"> himself</w:t>
      </w:r>
      <w:r w:rsidR="00212E14">
        <w:rPr>
          <w:rFonts w:eastAsiaTheme="minorHAnsi" w:cstheme="minorBidi"/>
          <w:szCs w:val="22"/>
        </w:rPr>
        <w:t xml:space="preserve">. </w:t>
      </w:r>
      <w:r>
        <w:rPr>
          <w:rFonts w:eastAsiaTheme="minorHAnsi" w:cstheme="minorBidi"/>
          <w:szCs w:val="22"/>
        </w:rPr>
        <w:t xml:space="preserve"> The program developed to date by Luke will continue—and continue to develop—in </w:t>
      </w:r>
      <w:proofErr w:type="gramStart"/>
      <w:r>
        <w:rPr>
          <w:rFonts w:eastAsiaTheme="minorHAnsi" w:cstheme="minorBidi"/>
          <w:szCs w:val="22"/>
        </w:rPr>
        <w:t>Fall</w:t>
      </w:r>
      <w:proofErr w:type="gramEnd"/>
      <w:r>
        <w:rPr>
          <w:rFonts w:eastAsiaTheme="minorHAnsi" w:cstheme="minorBidi"/>
          <w:szCs w:val="22"/>
        </w:rPr>
        <w:t xml:space="preserve"> 2014 under the direction of Steve Steiner, Professor of Chemistry.</w:t>
      </w:r>
    </w:p>
    <w:p w:rsidR="0062670A" w:rsidRDefault="0062670A" w:rsidP="0062670A">
      <w:pPr>
        <w:rPr>
          <w:rFonts w:eastAsiaTheme="minorHAnsi" w:cstheme="minorBidi"/>
          <w:szCs w:val="22"/>
        </w:rPr>
      </w:pPr>
    </w:p>
    <w:p w:rsidR="00955286" w:rsidRPr="00710F93" w:rsidRDefault="00955286" w:rsidP="0095528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710F93">
        <w:rPr>
          <w:b/>
        </w:rPr>
        <w:t>H</w:t>
      </w:r>
      <w:r w:rsidR="008C4342">
        <w:rPr>
          <w:b/>
        </w:rPr>
        <w:t>anover 101</w:t>
      </w:r>
    </w:p>
    <w:p w:rsidR="000A56C8" w:rsidRDefault="000A56C8" w:rsidP="000A56C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0A56C8">
        <w:rPr>
          <w:rFonts w:ascii="Times New Roman" w:hAnsi="Times New Roman"/>
          <w:color w:val="000000"/>
          <w:sz w:val="24"/>
          <w:szCs w:val="24"/>
        </w:rPr>
        <w:t>16</w:t>
      </w:r>
      <w:r w:rsidR="004C2DFE">
        <w:rPr>
          <w:rFonts w:ascii="Times New Roman" w:hAnsi="Times New Roman"/>
          <w:color w:val="000000"/>
          <w:sz w:val="24"/>
          <w:szCs w:val="24"/>
        </w:rPr>
        <w:t>7</w:t>
      </w:r>
      <w:r w:rsidRPr="000A56C8">
        <w:rPr>
          <w:rFonts w:ascii="Times New Roman" w:hAnsi="Times New Roman"/>
          <w:color w:val="000000"/>
          <w:sz w:val="24"/>
          <w:szCs w:val="24"/>
        </w:rPr>
        <w:t xml:space="preserve"> of 334 students in the entering </w:t>
      </w:r>
      <w:proofErr w:type="gramStart"/>
      <w:r w:rsidRPr="000A56C8">
        <w:rPr>
          <w:rFonts w:ascii="Times New Roman" w:hAnsi="Times New Roman"/>
          <w:color w:val="000000"/>
          <w:sz w:val="24"/>
          <w:szCs w:val="24"/>
        </w:rPr>
        <w:t>Fall</w:t>
      </w:r>
      <w:proofErr w:type="gramEnd"/>
      <w:r w:rsidRPr="000A56C8">
        <w:rPr>
          <w:rFonts w:ascii="Times New Roman" w:hAnsi="Times New Roman"/>
          <w:color w:val="000000"/>
          <w:sz w:val="24"/>
          <w:szCs w:val="24"/>
        </w:rPr>
        <w:t xml:space="preserve"> 2013 cohort registered for Hanover 101, the 0.5 unit course emphasizing the academic and social skills necessary for success in college.  Of those 16</w:t>
      </w:r>
      <w:r w:rsidR="004C2DFE">
        <w:rPr>
          <w:rFonts w:ascii="Times New Roman" w:hAnsi="Times New Roman"/>
          <w:color w:val="000000"/>
          <w:sz w:val="24"/>
          <w:szCs w:val="24"/>
        </w:rPr>
        <w:t>7</w:t>
      </w:r>
      <w:r w:rsidRPr="000A56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6C8">
        <w:rPr>
          <w:rFonts w:ascii="Times New Roman" w:hAnsi="Times New Roman"/>
          <w:sz w:val="24"/>
          <w:szCs w:val="24"/>
        </w:rPr>
        <w:t>students,  79 (4</w:t>
      </w:r>
      <w:r w:rsidR="004C2DFE">
        <w:rPr>
          <w:rFonts w:ascii="Times New Roman" w:hAnsi="Times New Roman"/>
          <w:sz w:val="24"/>
          <w:szCs w:val="24"/>
        </w:rPr>
        <w:t>7</w:t>
      </w:r>
      <w:r w:rsidRPr="000A56C8">
        <w:rPr>
          <w:rFonts w:ascii="Times New Roman" w:hAnsi="Times New Roman"/>
          <w:sz w:val="24"/>
          <w:szCs w:val="24"/>
        </w:rPr>
        <w:t>%) were required to enroll on the basis of standardized test scores and high school GPAs that suggest they might be “at risk” for academic success.  The other 5</w:t>
      </w:r>
      <w:r w:rsidR="004C2DFE">
        <w:rPr>
          <w:rFonts w:ascii="Times New Roman" w:hAnsi="Times New Roman"/>
          <w:sz w:val="24"/>
          <w:szCs w:val="24"/>
        </w:rPr>
        <w:t>3</w:t>
      </w:r>
      <w:r w:rsidRPr="000A56C8">
        <w:rPr>
          <w:rFonts w:ascii="Times New Roman" w:hAnsi="Times New Roman"/>
          <w:sz w:val="24"/>
          <w:szCs w:val="24"/>
        </w:rPr>
        <w:t xml:space="preserve">% enrolled </w:t>
      </w:r>
      <w:r w:rsidRPr="000A56C8">
        <w:rPr>
          <w:rFonts w:ascii="Times New Roman" w:hAnsi="Times New Roman"/>
          <w:color w:val="000000"/>
          <w:sz w:val="24"/>
          <w:szCs w:val="24"/>
        </w:rPr>
        <w:t>on personal (or parental) initiative.</w:t>
      </w:r>
      <w:r w:rsidR="00BD3C14">
        <w:rPr>
          <w:rFonts w:ascii="Times New Roman" w:hAnsi="Times New Roman"/>
          <w:color w:val="000000"/>
          <w:sz w:val="24"/>
          <w:szCs w:val="24"/>
        </w:rPr>
        <w:t xml:space="preserve">  The growth of HAN 101 and its role in supporting “at risk” students in particular is conveyed in the table below:</w:t>
      </w:r>
    </w:p>
    <w:p w:rsidR="00BD3C14" w:rsidRDefault="00BD3C14" w:rsidP="000A56C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-750" w:type="dxa"/>
        <w:tblLook w:val="04A0"/>
      </w:tblPr>
      <w:tblGrid>
        <w:gridCol w:w="1011"/>
        <w:gridCol w:w="990"/>
        <w:gridCol w:w="1170"/>
        <w:gridCol w:w="1170"/>
        <w:gridCol w:w="1096"/>
        <w:gridCol w:w="1319"/>
        <w:gridCol w:w="1170"/>
        <w:gridCol w:w="1733"/>
      </w:tblGrid>
      <w:tr w:rsidR="00C87056" w:rsidTr="00C87056">
        <w:trPr>
          <w:jc w:val="center"/>
        </w:trPr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E63C0A" w:rsidRPr="00BD3C14" w:rsidRDefault="00E63C0A" w:rsidP="00BD3C14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63C0A" w:rsidRPr="00BD3C14" w:rsidRDefault="00E63C0A" w:rsidP="00BD3C14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First-Year</w:t>
            </w:r>
          </w:p>
          <w:p w:rsidR="00E63C0A" w:rsidRPr="00BD3C14" w:rsidRDefault="00E63C0A" w:rsidP="00BD3C14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Cohort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63C0A" w:rsidRPr="00BD3C14" w:rsidRDefault="00E63C0A" w:rsidP="00BD3C14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“At Risk”</w:t>
            </w:r>
          </w:p>
          <w:p w:rsidR="00E63C0A" w:rsidRPr="00BD3C14" w:rsidRDefault="00E63C0A" w:rsidP="00BD3C14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Students in Cohort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87056" w:rsidRDefault="00E63C0A" w:rsidP="00E63C0A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 of</w:t>
            </w:r>
          </w:p>
          <w:p w:rsidR="00E63C0A" w:rsidRPr="00BD3C14" w:rsidRDefault="00E63C0A" w:rsidP="00E63C0A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FY Cohort</w:t>
            </w:r>
          </w:p>
          <w:p w:rsidR="00E63C0A" w:rsidRPr="00BD3C14" w:rsidRDefault="00E63C0A" w:rsidP="00E63C0A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“At Risk”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E63C0A" w:rsidRDefault="00E63C0A" w:rsidP="00BD3C14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Total</w:t>
            </w:r>
          </w:p>
          <w:p w:rsidR="00E63C0A" w:rsidRPr="00BD3C14" w:rsidRDefault="00E63C0A" w:rsidP="00BD3C14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</w:t>
            </w: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101</w:t>
            </w:r>
          </w:p>
          <w:p w:rsidR="00E63C0A" w:rsidRPr="00BD3C14" w:rsidRDefault="00E63C0A" w:rsidP="00BD3C14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Enrollment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C87056" w:rsidRDefault="00E63C0A" w:rsidP="00E63C0A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 of</w:t>
            </w:r>
          </w:p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FY</w:t>
            </w:r>
            <w:r w:rsidR="00C870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Cohort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in HAN </w:t>
            </w:r>
            <w:r w:rsidR="00C870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63C0A" w:rsidRPr="00BD3C14" w:rsidRDefault="00E63C0A" w:rsidP="00E63C0A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“At Risk”</w:t>
            </w:r>
          </w:p>
          <w:p w:rsidR="00E63C0A" w:rsidRPr="00BD3C14" w:rsidRDefault="00E63C0A" w:rsidP="00E63C0A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Students in H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</w:t>
            </w: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E63C0A" w:rsidRDefault="00E63C0A" w:rsidP="00E63C0A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of All </w:t>
            </w:r>
            <w:r w:rsidRPr="00BD3C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“At Risk” Students Enrolled</w:t>
            </w:r>
          </w:p>
          <w:p w:rsidR="00E63C0A" w:rsidRPr="00BD3C14" w:rsidRDefault="00E63C0A" w:rsidP="00E63C0A">
            <w:pPr>
              <w:pStyle w:val="PlainTex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 HAN 101</w:t>
            </w:r>
          </w:p>
        </w:tc>
      </w:tr>
      <w:tr w:rsidR="00C87056" w:rsidTr="00C87056">
        <w:trPr>
          <w:jc w:val="center"/>
        </w:trPr>
        <w:tc>
          <w:tcPr>
            <w:tcW w:w="1011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99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7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70" w:type="dxa"/>
            <w:vAlign w:val="center"/>
          </w:tcPr>
          <w:p w:rsidR="00E63C0A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096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19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7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33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96%</w:t>
            </w:r>
          </w:p>
        </w:tc>
      </w:tr>
      <w:tr w:rsidR="00C87056" w:rsidTr="00C87056">
        <w:trPr>
          <w:jc w:val="center"/>
        </w:trPr>
        <w:tc>
          <w:tcPr>
            <w:tcW w:w="1011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2011-2012</w:t>
            </w:r>
          </w:p>
        </w:tc>
        <w:tc>
          <w:tcPr>
            <w:tcW w:w="99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7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70" w:type="dxa"/>
            <w:vAlign w:val="center"/>
          </w:tcPr>
          <w:p w:rsidR="00E63C0A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096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19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7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33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92%</w:t>
            </w:r>
          </w:p>
        </w:tc>
      </w:tr>
      <w:tr w:rsidR="00C87056" w:rsidTr="00C87056">
        <w:trPr>
          <w:jc w:val="center"/>
        </w:trPr>
        <w:tc>
          <w:tcPr>
            <w:tcW w:w="1011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2012-2013</w:t>
            </w:r>
          </w:p>
        </w:tc>
        <w:tc>
          <w:tcPr>
            <w:tcW w:w="99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7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70" w:type="dxa"/>
            <w:vAlign w:val="center"/>
          </w:tcPr>
          <w:p w:rsidR="00E63C0A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96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19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17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33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76%</w:t>
            </w:r>
          </w:p>
        </w:tc>
      </w:tr>
      <w:tr w:rsidR="00C87056" w:rsidTr="00C87056">
        <w:trPr>
          <w:jc w:val="center"/>
        </w:trPr>
        <w:tc>
          <w:tcPr>
            <w:tcW w:w="1011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99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7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70" w:type="dxa"/>
            <w:vAlign w:val="center"/>
          </w:tcPr>
          <w:p w:rsidR="00E63C0A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96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19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70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33" w:type="dxa"/>
            <w:vAlign w:val="center"/>
          </w:tcPr>
          <w:p w:rsidR="00E63C0A" w:rsidRPr="00BD3C14" w:rsidRDefault="00E63C0A" w:rsidP="00C87056">
            <w:pPr>
              <w:pStyle w:val="Plain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81%</w:t>
            </w:r>
          </w:p>
        </w:tc>
      </w:tr>
    </w:tbl>
    <w:p w:rsidR="00421DBC" w:rsidRDefault="00421DBC" w:rsidP="004B3DD2">
      <w:pPr>
        <w:rPr>
          <w:rFonts w:eastAsiaTheme="minorHAnsi" w:cstheme="minorBidi"/>
          <w:b/>
          <w:szCs w:val="22"/>
        </w:rPr>
      </w:pPr>
    </w:p>
    <w:p w:rsidR="004C2DFE" w:rsidRDefault="00D539EB" w:rsidP="004B3DD2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Fine instruments for measuring </w:t>
      </w:r>
      <w:r w:rsidRPr="00D539EB">
        <w:rPr>
          <w:rFonts w:eastAsiaTheme="minorHAnsi" w:cstheme="minorBidi"/>
          <w:szCs w:val="22"/>
        </w:rPr>
        <w:t>the success of HAN 101 are hard to come by</w:t>
      </w:r>
      <w:r>
        <w:rPr>
          <w:rFonts w:eastAsiaTheme="minorHAnsi" w:cstheme="minorBidi"/>
          <w:szCs w:val="22"/>
        </w:rPr>
        <w:t>, but rougher indicators (student course evaluations, instructor assessments, and, ultimately, anecdotal information) point to general satisfaction with how well the course meet</w:t>
      </w:r>
      <w:r w:rsidR="0028520D">
        <w:rPr>
          <w:rFonts w:eastAsiaTheme="minorHAnsi" w:cstheme="minorBidi"/>
          <w:szCs w:val="22"/>
        </w:rPr>
        <w:t>s</w:t>
      </w:r>
      <w:r>
        <w:rPr>
          <w:rFonts w:eastAsiaTheme="minorHAnsi" w:cstheme="minorBidi"/>
          <w:szCs w:val="22"/>
        </w:rPr>
        <w:t xml:space="preserve"> its principal objectives, to </w:t>
      </w:r>
      <w:r w:rsidR="0028520D">
        <w:rPr>
          <w:rFonts w:eastAsiaTheme="minorHAnsi" w:cstheme="minorBidi"/>
          <w:szCs w:val="22"/>
        </w:rPr>
        <w:t>introduce students to “the intellectual and practical habits integral to college success, with a focus on the adjustment to college academics, the scholarly community, and the liberal arts.”</w:t>
      </w:r>
    </w:p>
    <w:p w:rsidR="0028520D" w:rsidRDefault="0028520D" w:rsidP="004B3DD2">
      <w:pPr>
        <w:rPr>
          <w:rFonts w:eastAsiaTheme="minorHAnsi" w:cstheme="minorBidi"/>
          <w:szCs w:val="22"/>
        </w:rPr>
      </w:pPr>
    </w:p>
    <w:p w:rsidR="0028520D" w:rsidRDefault="0028520D" w:rsidP="004B3DD2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While HAN 101 students are not retained from first to second year at a higher rate than the cohort at large, the numbers do suggest that the course is a factor in closing the gap between general retention and retention of this particular—and potentially challenged—subset of students:</w:t>
      </w:r>
    </w:p>
    <w:p w:rsidR="0028520D" w:rsidRDefault="0028520D" w:rsidP="004B3DD2">
      <w:pPr>
        <w:rPr>
          <w:rFonts w:eastAsiaTheme="minorHAnsi" w:cstheme="minorBidi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3600"/>
        <w:gridCol w:w="3510"/>
        <w:gridCol w:w="1080"/>
      </w:tblGrid>
      <w:tr w:rsidR="0028520D" w:rsidTr="002D5405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20D" w:rsidRPr="0028520D" w:rsidRDefault="0028520D" w:rsidP="0028520D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28520D">
              <w:rPr>
                <w:rFonts w:eastAsiaTheme="minorHAnsi" w:cstheme="minorBidi"/>
                <w:b/>
                <w:sz w:val="18"/>
                <w:szCs w:val="18"/>
              </w:rPr>
              <w:t>AY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8520D" w:rsidRPr="0028520D" w:rsidRDefault="0028520D" w:rsidP="0028520D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28520D">
              <w:rPr>
                <w:rFonts w:eastAsiaTheme="minorHAnsi" w:cstheme="minorBidi"/>
                <w:b/>
                <w:sz w:val="18"/>
                <w:szCs w:val="18"/>
              </w:rPr>
              <w:t>1</w:t>
            </w:r>
            <w:r w:rsidRPr="0028520D">
              <w:rPr>
                <w:rFonts w:eastAsiaTheme="minorHAnsi" w:cstheme="minorBidi"/>
                <w:b/>
                <w:sz w:val="18"/>
                <w:szCs w:val="18"/>
                <w:vertAlign w:val="superscript"/>
              </w:rPr>
              <w:t>st</w:t>
            </w:r>
            <w:r w:rsidRPr="0028520D">
              <w:rPr>
                <w:rFonts w:eastAsiaTheme="minorHAnsi" w:cstheme="minorBidi"/>
                <w:b/>
                <w:sz w:val="18"/>
                <w:szCs w:val="18"/>
              </w:rPr>
              <w:t xml:space="preserve"> to 2</w:t>
            </w:r>
            <w:r w:rsidRPr="0028520D">
              <w:rPr>
                <w:rFonts w:eastAsiaTheme="minorHAnsi" w:cstheme="minorBidi"/>
                <w:b/>
                <w:sz w:val="18"/>
                <w:szCs w:val="18"/>
                <w:vertAlign w:val="superscript"/>
              </w:rPr>
              <w:t>nd</w:t>
            </w:r>
            <w:r w:rsidRPr="0028520D">
              <w:rPr>
                <w:rFonts w:eastAsiaTheme="minorHAnsi" w:cstheme="minorBidi"/>
                <w:b/>
                <w:sz w:val="18"/>
                <w:szCs w:val="18"/>
              </w:rPr>
              <w:t xml:space="preserve"> Year Retention Rate:  General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8520D" w:rsidRPr="0028520D" w:rsidRDefault="0028520D" w:rsidP="0028520D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28520D">
              <w:rPr>
                <w:rFonts w:eastAsiaTheme="minorHAnsi" w:cstheme="minorBidi"/>
                <w:b/>
                <w:sz w:val="18"/>
                <w:szCs w:val="18"/>
              </w:rPr>
              <w:t>1</w:t>
            </w:r>
            <w:r w:rsidRPr="0028520D">
              <w:rPr>
                <w:rFonts w:eastAsiaTheme="minorHAnsi" w:cstheme="minorBidi"/>
                <w:b/>
                <w:sz w:val="18"/>
                <w:szCs w:val="18"/>
                <w:vertAlign w:val="superscript"/>
              </w:rPr>
              <w:t>st</w:t>
            </w:r>
            <w:r w:rsidRPr="0028520D">
              <w:rPr>
                <w:rFonts w:eastAsiaTheme="minorHAnsi" w:cstheme="minorBidi"/>
                <w:b/>
                <w:sz w:val="18"/>
                <w:szCs w:val="18"/>
              </w:rPr>
              <w:t xml:space="preserve"> to 2</w:t>
            </w:r>
            <w:r w:rsidRPr="0028520D">
              <w:rPr>
                <w:rFonts w:eastAsiaTheme="minorHAnsi" w:cstheme="minorBidi"/>
                <w:b/>
                <w:sz w:val="18"/>
                <w:szCs w:val="18"/>
                <w:vertAlign w:val="superscript"/>
              </w:rPr>
              <w:t>nd</w:t>
            </w:r>
            <w:r w:rsidRPr="0028520D">
              <w:rPr>
                <w:rFonts w:eastAsiaTheme="minorHAnsi" w:cstheme="minorBidi"/>
                <w:b/>
                <w:sz w:val="18"/>
                <w:szCs w:val="18"/>
              </w:rPr>
              <w:t xml:space="preserve"> Year Retention Rate:  HAN 101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20D" w:rsidRPr="0028520D" w:rsidRDefault="0028520D" w:rsidP="0028520D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28520D">
              <w:rPr>
                <w:rFonts w:eastAsiaTheme="minorHAnsi" w:cstheme="minorBidi"/>
                <w:b/>
                <w:sz w:val="18"/>
                <w:szCs w:val="18"/>
              </w:rPr>
              <w:t>Difference</w:t>
            </w:r>
          </w:p>
        </w:tc>
      </w:tr>
      <w:tr w:rsidR="0028520D" w:rsidTr="002D5405">
        <w:tc>
          <w:tcPr>
            <w:tcW w:w="1440" w:type="dxa"/>
          </w:tcPr>
          <w:p w:rsidR="0028520D" w:rsidRDefault="0028520D" w:rsidP="0028520D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2010-2011</w:t>
            </w:r>
          </w:p>
        </w:tc>
        <w:tc>
          <w:tcPr>
            <w:tcW w:w="360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80.3%</w:t>
            </w:r>
          </w:p>
        </w:tc>
        <w:tc>
          <w:tcPr>
            <w:tcW w:w="351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76.1%</w:t>
            </w:r>
          </w:p>
        </w:tc>
        <w:tc>
          <w:tcPr>
            <w:tcW w:w="108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-4.2%</w:t>
            </w:r>
          </w:p>
        </w:tc>
      </w:tr>
      <w:tr w:rsidR="0028520D" w:rsidTr="002D5405">
        <w:tc>
          <w:tcPr>
            <w:tcW w:w="1440" w:type="dxa"/>
          </w:tcPr>
          <w:p w:rsidR="0028520D" w:rsidRDefault="0028520D" w:rsidP="0028520D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2011-2012</w:t>
            </w:r>
          </w:p>
        </w:tc>
        <w:tc>
          <w:tcPr>
            <w:tcW w:w="360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83.2%</w:t>
            </w:r>
          </w:p>
        </w:tc>
        <w:tc>
          <w:tcPr>
            <w:tcW w:w="351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82.0%</w:t>
            </w:r>
          </w:p>
        </w:tc>
        <w:tc>
          <w:tcPr>
            <w:tcW w:w="108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-1.2%</w:t>
            </w:r>
          </w:p>
        </w:tc>
      </w:tr>
      <w:tr w:rsidR="0028520D" w:rsidTr="002D5405">
        <w:tc>
          <w:tcPr>
            <w:tcW w:w="1440" w:type="dxa"/>
          </w:tcPr>
          <w:p w:rsidR="0028520D" w:rsidRDefault="0028520D" w:rsidP="0028520D">
            <w:pPr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2012-2013</w:t>
            </w:r>
          </w:p>
        </w:tc>
        <w:tc>
          <w:tcPr>
            <w:tcW w:w="360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80.9%</w:t>
            </w:r>
          </w:p>
        </w:tc>
        <w:tc>
          <w:tcPr>
            <w:tcW w:w="351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79.2%</w:t>
            </w:r>
          </w:p>
        </w:tc>
        <w:tc>
          <w:tcPr>
            <w:tcW w:w="1080" w:type="dxa"/>
            <w:vAlign w:val="center"/>
          </w:tcPr>
          <w:p w:rsidR="0028520D" w:rsidRDefault="002D5405" w:rsidP="002D5405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-1.7%</w:t>
            </w:r>
          </w:p>
        </w:tc>
      </w:tr>
    </w:tbl>
    <w:p w:rsidR="0028520D" w:rsidRDefault="0028520D" w:rsidP="004B3DD2">
      <w:pPr>
        <w:rPr>
          <w:rFonts w:eastAsiaTheme="minorHAnsi" w:cstheme="minorBidi"/>
          <w:szCs w:val="22"/>
        </w:rPr>
      </w:pPr>
    </w:p>
    <w:p w:rsidR="0028520D" w:rsidRDefault="0028520D" w:rsidP="004B3DD2">
      <w:pPr>
        <w:rPr>
          <w:rFonts w:eastAsiaTheme="minorHAnsi" w:cstheme="minorBidi"/>
          <w:szCs w:val="22"/>
        </w:rPr>
      </w:pPr>
    </w:p>
    <w:p w:rsidR="0028520D" w:rsidRDefault="0028520D" w:rsidP="004B3DD2">
      <w:pPr>
        <w:rPr>
          <w:rFonts w:eastAsiaTheme="minorHAnsi" w:cstheme="minorBidi"/>
          <w:szCs w:val="22"/>
        </w:rPr>
      </w:pPr>
    </w:p>
    <w:p w:rsidR="00F13342" w:rsidRPr="00D539EB" w:rsidRDefault="00F13342" w:rsidP="004B3DD2">
      <w:pPr>
        <w:rPr>
          <w:rFonts w:eastAsiaTheme="minorHAnsi" w:cstheme="minorBidi"/>
          <w:szCs w:val="22"/>
        </w:rPr>
      </w:pPr>
    </w:p>
    <w:p w:rsidR="00B236B7" w:rsidRPr="004B3DD2" w:rsidRDefault="00B236B7" w:rsidP="00B236B7">
      <w:pPr>
        <w:rPr>
          <w:rFonts w:eastAsiaTheme="minorHAnsi" w:cstheme="minorBidi"/>
          <w:b/>
          <w:szCs w:val="22"/>
        </w:rPr>
      </w:pPr>
      <w:r w:rsidRPr="004B3DD2">
        <w:rPr>
          <w:rFonts w:eastAsiaTheme="minorHAnsi" w:cstheme="minorBidi"/>
          <w:b/>
          <w:szCs w:val="22"/>
        </w:rPr>
        <w:lastRenderedPageBreak/>
        <w:t>P</w:t>
      </w:r>
      <w:r w:rsidR="004A4AD4">
        <w:rPr>
          <w:rFonts w:eastAsiaTheme="minorHAnsi" w:cstheme="minorBidi"/>
          <w:b/>
          <w:szCs w:val="22"/>
        </w:rPr>
        <w:t>hi Beta Kappa Application</w:t>
      </w:r>
    </w:p>
    <w:p w:rsidR="00E900DB" w:rsidRDefault="00233D92" w:rsidP="00B236B7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The Phi Beta Kappa faculty received notification in a letter o</w:t>
      </w:r>
      <w:r w:rsidR="00F13342">
        <w:rPr>
          <w:rFonts w:eastAsiaTheme="minorHAnsi" w:cstheme="minorBidi"/>
          <w:szCs w:val="22"/>
        </w:rPr>
        <w:t>f</w:t>
      </w:r>
      <w:r>
        <w:rPr>
          <w:rFonts w:eastAsiaTheme="minorHAnsi" w:cstheme="minorBidi"/>
          <w:szCs w:val="22"/>
        </w:rPr>
        <w:t xml:space="preserve"> </w:t>
      </w:r>
      <w:r w:rsidR="00F13342">
        <w:rPr>
          <w:rFonts w:eastAsiaTheme="minorHAnsi" w:cstheme="minorBidi"/>
          <w:szCs w:val="22"/>
        </w:rPr>
        <w:t xml:space="preserve">14 </w:t>
      </w:r>
      <w:r>
        <w:rPr>
          <w:rFonts w:eastAsiaTheme="minorHAnsi" w:cstheme="minorBidi"/>
          <w:szCs w:val="22"/>
        </w:rPr>
        <w:t xml:space="preserve">May 2013 from the Society that Hanover’s application would not be moved forward.  </w:t>
      </w:r>
      <w:r w:rsidR="00E900DB">
        <w:rPr>
          <w:rFonts w:eastAsiaTheme="minorHAnsi" w:cstheme="minorBidi"/>
          <w:szCs w:val="22"/>
        </w:rPr>
        <w:t xml:space="preserve">The Committee on Applications cited several reasons for denying a site visit in </w:t>
      </w:r>
      <w:proofErr w:type="gramStart"/>
      <w:r w:rsidR="00E900DB">
        <w:rPr>
          <w:rFonts w:eastAsiaTheme="minorHAnsi" w:cstheme="minorBidi"/>
          <w:szCs w:val="22"/>
        </w:rPr>
        <w:t>Fall</w:t>
      </w:r>
      <w:proofErr w:type="gramEnd"/>
      <w:r w:rsidR="00E900DB">
        <w:rPr>
          <w:rFonts w:eastAsiaTheme="minorHAnsi" w:cstheme="minorBidi"/>
          <w:szCs w:val="22"/>
        </w:rPr>
        <w:t xml:space="preserve"> 2013:</w:t>
      </w:r>
    </w:p>
    <w:p w:rsidR="00E900DB" w:rsidRDefault="00E900DB" w:rsidP="00E900DB">
      <w:pPr>
        <w:pStyle w:val="ListParagraph"/>
        <w:numPr>
          <w:ilvl w:val="0"/>
          <w:numId w:val="19"/>
        </w:numPr>
        <w:rPr>
          <w:rFonts w:eastAsiaTheme="minorHAnsi" w:cstheme="minorBidi"/>
        </w:rPr>
      </w:pPr>
      <w:r>
        <w:rPr>
          <w:rFonts w:eastAsiaTheme="minorHAnsi" w:cstheme="minorBidi"/>
        </w:rPr>
        <w:t>f</w:t>
      </w:r>
      <w:r w:rsidR="00233D92" w:rsidRPr="00E900DB">
        <w:rPr>
          <w:rFonts w:eastAsiaTheme="minorHAnsi" w:cstheme="minorBidi"/>
        </w:rPr>
        <w:t>inancial</w:t>
      </w:r>
      <w:r>
        <w:rPr>
          <w:rFonts w:eastAsiaTheme="minorHAnsi" w:cstheme="minorBidi"/>
        </w:rPr>
        <w:t xml:space="preserve"> concerns</w:t>
      </w:r>
      <w:r w:rsidR="00233D92" w:rsidRPr="00E900DB">
        <w:rPr>
          <w:rFonts w:eastAsiaTheme="minorHAnsi" w:cstheme="minorBidi"/>
        </w:rPr>
        <w:t>, e.g. the size of the tuition discount rate and last year’s deficit;</w:t>
      </w:r>
    </w:p>
    <w:p w:rsidR="00E900DB" w:rsidRDefault="00E900DB" w:rsidP="00E900DB">
      <w:pPr>
        <w:pStyle w:val="ListParagraph"/>
        <w:numPr>
          <w:ilvl w:val="0"/>
          <w:numId w:val="19"/>
        </w:numPr>
        <w:rPr>
          <w:rFonts w:eastAsiaTheme="minorHAnsi" w:cstheme="minorBidi"/>
        </w:rPr>
      </w:pPr>
      <w:r>
        <w:rPr>
          <w:rFonts w:eastAsiaTheme="minorHAnsi" w:cstheme="minorBidi"/>
        </w:rPr>
        <w:t xml:space="preserve">concerns about the </w:t>
      </w:r>
      <w:r w:rsidR="00233D92" w:rsidRPr="00E900DB">
        <w:rPr>
          <w:rFonts w:eastAsiaTheme="minorHAnsi" w:cstheme="minorBidi"/>
        </w:rPr>
        <w:t>strength of arts and sciences programs</w:t>
      </w:r>
      <w:r>
        <w:rPr>
          <w:rFonts w:eastAsiaTheme="minorHAnsi" w:cstheme="minorBidi"/>
        </w:rPr>
        <w:t xml:space="preserve"> in general, but particularly the </w:t>
      </w:r>
      <w:r w:rsidR="00233D92" w:rsidRPr="00E900DB">
        <w:rPr>
          <w:rFonts w:eastAsiaTheme="minorHAnsi" w:cstheme="minorBidi"/>
        </w:rPr>
        <w:t>sciences, where funding seemed thin</w:t>
      </w:r>
      <w:r>
        <w:rPr>
          <w:rFonts w:eastAsiaTheme="minorHAnsi" w:cstheme="minorBidi"/>
        </w:rPr>
        <w:t>;</w:t>
      </w:r>
    </w:p>
    <w:p w:rsidR="00E900DB" w:rsidRDefault="00E900DB" w:rsidP="00E900DB">
      <w:pPr>
        <w:pStyle w:val="ListParagraph"/>
        <w:numPr>
          <w:ilvl w:val="0"/>
          <w:numId w:val="19"/>
        </w:numPr>
        <w:rPr>
          <w:rFonts w:eastAsiaTheme="minorHAnsi" w:cstheme="minorBidi"/>
        </w:rPr>
      </w:pPr>
      <w:r>
        <w:rPr>
          <w:rFonts w:eastAsiaTheme="minorHAnsi" w:cstheme="minorBidi"/>
        </w:rPr>
        <w:t xml:space="preserve">concerns that </w:t>
      </w:r>
      <w:r w:rsidR="00233D92" w:rsidRPr="00E900DB">
        <w:rPr>
          <w:rFonts w:eastAsiaTheme="minorHAnsi" w:cstheme="minorBidi"/>
        </w:rPr>
        <w:t>across</w:t>
      </w:r>
      <w:r>
        <w:rPr>
          <w:rFonts w:eastAsiaTheme="minorHAnsi" w:cstheme="minorBidi"/>
        </w:rPr>
        <w:t>-</w:t>
      </w:r>
      <w:r w:rsidR="00233D92" w:rsidRPr="00E900DB">
        <w:rPr>
          <w:rFonts w:eastAsiaTheme="minorHAnsi" w:cstheme="minorBidi"/>
        </w:rPr>
        <w:t>the</w:t>
      </w:r>
      <w:r>
        <w:rPr>
          <w:rFonts w:eastAsiaTheme="minorHAnsi" w:cstheme="minorBidi"/>
        </w:rPr>
        <w:t>-</w:t>
      </w:r>
      <w:r w:rsidR="00233D92" w:rsidRPr="00E900DB">
        <w:rPr>
          <w:rFonts w:eastAsiaTheme="minorHAnsi" w:cstheme="minorBidi"/>
        </w:rPr>
        <w:t>board teaching loads seemed heavy;</w:t>
      </w:r>
    </w:p>
    <w:p w:rsidR="00E900DB" w:rsidRDefault="00E900DB" w:rsidP="00E900DB">
      <w:pPr>
        <w:pStyle w:val="ListParagraph"/>
        <w:numPr>
          <w:ilvl w:val="0"/>
          <w:numId w:val="19"/>
        </w:numPr>
        <w:rPr>
          <w:rFonts w:eastAsiaTheme="minorHAnsi" w:cstheme="minorBidi"/>
        </w:rPr>
      </w:pPr>
      <w:r>
        <w:rPr>
          <w:rFonts w:eastAsiaTheme="minorHAnsi" w:cstheme="minorBidi"/>
        </w:rPr>
        <w:t xml:space="preserve">concerns that </w:t>
      </w:r>
      <w:r w:rsidR="00233D92" w:rsidRPr="00E900DB">
        <w:rPr>
          <w:rFonts w:eastAsiaTheme="minorHAnsi" w:cstheme="minorBidi"/>
        </w:rPr>
        <w:t xml:space="preserve">scholarly activity </w:t>
      </w:r>
      <w:r>
        <w:rPr>
          <w:rFonts w:eastAsiaTheme="minorHAnsi" w:cstheme="minorBidi"/>
        </w:rPr>
        <w:t xml:space="preserve">among the faculty </w:t>
      </w:r>
      <w:r w:rsidR="00233D92" w:rsidRPr="00E900DB">
        <w:rPr>
          <w:rFonts w:eastAsiaTheme="minorHAnsi" w:cstheme="minorBidi"/>
        </w:rPr>
        <w:t>seemed somewhat below the level th</w:t>
      </w:r>
      <w:r>
        <w:rPr>
          <w:rFonts w:eastAsiaTheme="minorHAnsi" w:cstheme="minorBidi"/>
        </w:rPr>
        <w:t>at the</w:t>
      </w:r>
      <w:r w:rsidR="00233D92" w:rsidRPr="00E900DB">
        <w:rPr>
          <w:rFonts w:eastAsiaTheme="minorHAnsi" w:cstheme="minorBidi"/>
        </w:rPr>
        <w:t xml:space="preserve"> Committee hopes to see;</w:t>
      </w:r>
    </w:p>
    <w:p w:rsidR="00B236B7" w:rsidRPr="00E900DB" w:rsidRDefault="00E900DB" w:rsidP="00E900DB">
      <w:pPr>
        <w:pStyle w:val="ListParagraph"/>
        <w:numPr>
          <w:ilvl w:val="0"/>
          <w:numId w:val="19"/>
        </w:numPr>
        <w:rPr>
          <w:rFonts w:eastAsiaTheme="minorHAnsi" w:cstheme="minorBidi"/>
        </w:rPr>
      </w:pPr>
      <w:proofErr w:type="gramStart"/>
      <w:r>
        <w:rPr>
          <w:rFonts w:eastAsiaTheme="minorHAnsi" w:cstheme="minorBidi"/>
        </w:rPr>
        <w:t>and</w:t>
      </w:r>
      <w:proofErr w:type="gramEnd"/>
      <w:r>
        <w:rPr>
          <w:rFonts w:eastAsiaTheme="minorHAnsi" w:cstheme="minorBidi"/>
        </w:rPr>
        <w:t xml:space="preserve"> concern that, given the </w:t>
      </w:r>
      <w:r w:rsidR="00233D92" w:rsidRPr="00E900DB">
        <w:rPr>
          <w:rFonts w:eastAsiaTheme="minorHAnsi" w:cstheme="minorBidi"/>
        </w:rPr>
        <w:t xml:space="preserve">percentage of students majoring in communication and education, the College </w:t>
      </w:r>
      <w:r>
        <w:rPr>
          <w:rFonts w:eastAsiaTheme="minorHAnsi" w:cstheme="minorBidi"/>
        </w:rPr>
        <w:t xml:space="preserve">could lack a </w:t>
      </w:r>
      <w:r w:rsidR="00233D92" w:rsidRPr="00E900DB">
        <w:rPr>
          <w:rFonts w:eastAsiaTheme="minorHAnsi" w:cstheme="minorBidi"/>
        </w:rPr>
        <w:t xml:space="preserve">sufficient proportion of students with </w:t>
      </w:r>
      <w:r>
        <w:rPr>
          <w:rFonts w:eastAsiaTheme="minorHAnsi" w:cstheme="minorBidi"/>
        </w:rPr>
        <w:t xml:space="preserve">very high-end academic talent </w:t>
      </w:r>
      <w:r w:rsidR="00233D92" w:rsidRPr="00E900DB">
        <w:rPr>
          <w:rFonts w:eastAsiaTheme="minorHAnsi" w:cstheme="minorBidi"/>
        </w:rPr>
        <w:t xml:space="preserve">in the traditional arts and sciences to </w:t>
      </w:r>
      <w:r>
        <w:rPr>
          <w:rFonts w:eastAsiaTheme="minorHAnsi" w:cstheme="minorBidi"/>
        </w:rPr>
        <w:t xml:space="preserve">sustain a </w:t>
      </w:r>
      <w:r w:rsidR="00233D92" w:rsidRPr="00E900DB">
        <w:rPr>
          <w:rFonts w:eastAsiaTheme="minorHAnsi" w:cstheme="minorBidi"/>
        </w:rPr>
        <w:t>chapter’s inductions.</w:t>
      </w:r>
    </w:p>
    <w:p w:rsidR="005430D1" w:rsidRDefault="005430D1" w:rsidP="004B3DD2">
      <w:pPr>
        <w:rPr>
          <w:rFonts w:eastAsiaTheme="minorHAnsi" w:cstheme="minorBidi"/>
          <w:szCs w:val="22"/>
        </w:rPr>
      </w:pPr>
    </w:p>
    <w:p w:rsidR="004970AD" w:rsidRDefault="004970AD" w:rsidP="004970AD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Voluntary Faculty Retirement Programs</w:t>
      </w:r>
    </w:p>
    <w:p w:rsidR="004970AD" w:rsidRDefault="004970AD" w:rsidP="004970A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2013-2014 is the final enrollment year for the two voluntary retirement programs (full or phased retirement) first offered in May 2012.  The enrollment period will close 1 May 2014.</w:t>
      </w:r>
    </w:p>
    <w:p w:rsidR="004970AD" w:rsidRDefault="004970AD" w:rsidP="004970AD">
      <w:pPr>
        <w:rPr>
          <w:rFonts w:eastAsia="Calibri"/>
          <w:color w:val="000000"/>
          <w:szCs w:val="22"/>
        </w:rPr>
      </w:pPr>
    </w:p>
    <w:p w:rsidR="00B96EB7" w:rsidRDefault="00B96EB7" w:rsidP="004970A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Enrollment to date includes:</w:t>
      </w:r>
    </w:p>
    <w:p w:rsidR="00B96EB7" w:rsidRDefault="004970AD" w:rsidP="00B96EB7">
      <w:pPr>
        <w:pStyle w:val="ListParagraph"/>
        <w:numPr>
          <w:ilvl w:val="0"/>
          <w:numId w:val="20"/>
        </w:numPr>
        <w:rPr>
          <w:color w:val="000000"/>
        </w:rPr>
      </w:pPr>
      <w:r w:rsidRPr="00B96EB7">
        <w:rPr>
          <w:color w:val="000000"/>
        </w:rPr>
        <w:t>three faculty members</w:t>
      </w:r>
      <w:r w:rsidR="00B96EB7" w:rsidRPr="00B96EB7">
        <w:rPr>
          <w:color w:val="000000"/>
        </w:rPr>
        <w:t xml:space="preserve"> </w:t>
      </w:r>
      <w:r w:rsidR="00B96EB7">
        <w:rPr>
          <w:color w:val="000000"/>
        </w:rPr>
        <w:t xml:space="preserve">who </w:t>
      </w:r>
      <w:r w:rsidRPr="00B96EB7">
        <w:rPr>
          <w:color w:val="000000"/>
        </w:rPr>
        <w:t>have requested</w:t>
      </w:r>
      <w:r w:rsidR="00B96EB7">
        <w:rPr>
          <w:color w:val="000000"/>
        </w:rPr>
        <w:t xml:space="preserve">, received, and </w:t>
      </w:r>
      <w:r w:rsidRPr="00B96EB7">
        <w:rPr>
          <w:color w:val="000000"/>
        </w:rPr>
        <w:t xml:space="preserve">signed agreements for voluntary full retirement at the end of </w:t>
      </w:r>
      <w:r w:rsidR="00F13342">
        <w:rPr>
          <w:color w:val="000000"/>
        </w:rPr>
        <w:t>AY</w:t>
      </w:r>
      <w:r w:rsidRPr="00B96EB7">
        <w:rPr>
          <w:color w:val="000000"/>
        </w:rPr>
        <w:t xml:space="preserve"> 2013-2014</w:t>
      </w:r>
      <w:r w:rsidR="00B96EB7">
        <w:rPr>
          <w:color w:val="000000"/>
        </w:rPr>
        <w:t>;</w:t>
      </w:r>
    </w:p>
    <w:p w:rsidR="00B96EB7" w:rsidRDefault="00B96EB7" w:rsidP="00B96EB7">
      <w:pPr>
        <w:pStyle w:val="ListParagraph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one faculty member who has requested, received, and signed an agreement for voluntary full retirement at the end of </w:t>
      </w:r>
      <w:r w:rsidR="00F13342">
        <w:rPr>
          <w:color w:val="000000"/>
        </w:rPr>
        <w:t xml:space="preserve">AY </w:t>
      </w:r>
      <w:r>
        <w:rPr>
          <w:color w:val="000000"/>
        </w:rPr>
        <w:t>2015-2016;</w:t>
      </w:r>
    </w:p>
    <w:p w:rsidR="00B96EB7" w:rsidRDefault="00B96EB7" w:rsidP="00B96EB7">
      <w:pPr>
        <w:pStyle w:val="ListParagraph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one faculty member who has requested, received, and signed an agreement for voluntary full retirement at the end of </w:t>
      </w:r>
      <w:r w:rsidR="00F13342">
        <w:rPr>
          <w:color w:val="000000"/>
        </w:rPr>
        <w:t xml:space="preserve">AY </w:t>
      </w:r>
      <w:r>
        <w:rPr>
          <w:color w:val="000000"/>
        </w:rPr>
        <w:t>2016-2017Y;</w:t>
      </w:r>
    </w:p>
    <w:p w:rsidR="004970AD" w:rsidRPr="00F13342" w:rsidRDefault="00B96EB7" w:rsidP="00F13342">
      <w:pPr>
        <w:pStyle w:val="ListParagraph"/>
        <w:numPr>
          <w:ilvl w:val="0"/>
          <w:numId w:val="20"/>
        </w:numPr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one faculty member who has requested, received, and signed an agreement for voluntary phased retirement, beginning in AY 2014-2015 and concluding with full retirement at the end of AY 2016-2017</w:t>
      </w:r>
      <w:r w:rsidR="00F13342">
        <w:rPr>
          <w:color w:val="000000"/>
        </w:rPr>
        <w:t>.</w:t>
      </w:r>
      <w:r w:rsidR="004970AD" w:rsidRPr="00F13342">
        <w:rPr>
          <w:color w:val="000000"/>
        </w:rPr>
        <w:t xml:space="preserve">  </w:t>
      </w:r>
    </w:p>
    <w:p w:rsidR="00F13342" w:rsidRDefault="00F13342" w:rsidP="00233D9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rFonts w:eastAsiaTheme="minorHAnsi" w:cstheme="minorBidi"/>
          <w:b/>
          <w:szCs w:val="22"/>
        </w:rPr>
      </w:pPr>
    </w:p>
    <w:p w:rsidR="00B236B7" w:rsidRPr="00192DB5" w:rsidRDefault="00233D92" w:rsidP="00233D9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rFonts w:eastAsiaTheme="minorHAnsi" w:cstheme="minorBidi"/>
          <w:szCs w:val="22"/>
        </w:rPr>
      </w:pPr>
      <w:r>
        <w:rPr>
          <w:rFonts w:eastAsiaTheme="minorHAnsi" w:cstheme="minorBidi"/>
          <w:b/>
          <w:szCs w:val="22"/>
        </w:rPr>
        <w:t xml:space="preserve"> </w:t>
      </w:r>
      <w:r w:rsidR="004C05BB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b/>
          <w:szCs w:val="22"/>
        </w:rPr>
        <w:t xml:space="preserve"> </w:t>
      </w:r>
    </w:p>
    <w:p w:rsidR="00421DBC" w:rsidRPr="00421DBC" w:rsidRDefault="00421DBC" w:rsidP="00421DBC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864" w:hanging="864"/>
        <w:jc w:val="center"/>
        <w:rPr>
          <w:b/>
          <w:sz w:val="28"/>
          <w:szCs w:val="28"/>
        </w:rPr>
      </w:pPr>
      <w:r w:rsidRPr="00421DBC">
        <w:rPr>
          <w:b/>
          <w:sz w:val="28"/>
          <w:szCs w:val="28"/>
        </w:rPr>
        <w:t>ACADEMIC AFFAIRS FACULTY AND STAFF NEWS</w:t>
      </w:r>
    </w:p>
    <w:p w:rsidR="00421DBC" w:rsidRDefault="00421DBC" w:rsidP="004A4AD4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864" w:hanging="864"/>
        <w:rPr>
          <w:b/>
        </w:rPr>
      </w:pPr>
    </w:p>
    <w:p w:rsidR="00CA2A0C" w:rsidRPr="00E652EB" w:rsidRDefault="00C87056" w:rsidP="007F095A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 xml:space="preserve">Listed below are new members of the Hanover faculty </w:t>
      </w:r>
      <w:r w:rsidR="00F13342">
        <w:t xml:space="preserve">and the </w:t>
      </w:r>
      <w:r w:rsidR="006A6A9C" w:rsidRPr="00E652EB">
        <w:t>Aca</w:t>
      </w:r>
      <w:r w:rsidR="00233D92">
        <w:t>demic Affairs staff</w:t>
      </w:r>
      <w:r>
        <w:t>.</w:t>
      </w:r>
      <w:r w:rsidR="00714A68">
        <w:t xml:space="preserve">  Four</w:t>
      </w:r>
      <w:r w:rsidR="00532E13">
        <w:t xml:space="preserve"> </w:t>
      </w:r>
      <w:r>
        <w:t xml:space="preserve">of the six new faculty members and the new archivist fill existing positions vacated by </w:t>
      </w:r>
      <w:r w:rsidR="00AB38E2">
        <w:t>resignation</w:t>
      </w:r>
      <w:r>
        <w:t xml:space="preserve">, retirement, or </w:t>
      </w:r>
      <w:r w:rsidR="00714A68">
        <w:t>death</w:t>
      </w:r>
      <w:r w:rsidR="00AB38E2">
        <w:t>.</w:t>
      </w:r>
      <w:r w:rsidR="00DB56CA" w:rsidRPr="00E652EB">
        <w:t xml:space="preserve"> </w:t>
      </w:r>
      <w:r>
        <w:t xml:space="preserve"> The appointment in Art and Art History reflects the conversion of an existing position into a jointly-held position</w:t>
      </w:r>
      <w:r w:rsidR="00D85D45">
        <w:t xml:space="preserve">.  </w:t>
      </w:r>
      <w:r>
        <w:t xml:space="preserve">The appointments in Biology and BSP are </w:t>
      </w:r>
      <w:r w:rsidR="00F13342">
        <w:t xml:space="preserve">altogether </w:t>
      </w:r>
      <w:r>
        <w:t>new faculty positions</w:t>
      </w:r>
      <w:r w:rsidR="00D85D45">
        <w:t xml:space="preserve"> occasioned by programmatic needs in response to enrollment and registration patterns.</w:t>
      </w:r>
      <w:r>
        <w:t xml:space="preserve">  </w:t>
      </w:r>
    </w:p>
    <w:p w:rsidR="00DB56CA" w:rsidRPr="00E652EB" w:rsidRDefault="00DB56CA" w:rsidP="007F095A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A29F5" w:rsidRPr="00FA29F5" w:rsidRDefault="00FA29F5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FA29F5">
        <w:rPr>
          <w:b/>
        </w:rPr>
        <w:t xml:space="preserve">New </w:t>
      </w:r>
      <w:r>
        <w:rPr>
          <w:b/>
        </w:rPr>
        <w:t xml:space="preserve">Faculty </w:t>
      </w:r>
      <w:r w:rsidRPr="00FA29F5">
        <w:rPr>
          <w:b/>
        </w:rPr>
        <w:t>Position</w:t>
      </w:r>
      <w:r>
        <w:rPr>
          <w:b/>
        </w:rPr>
        <w:t>s</w:t>
      </w:r>
    </w:p>
    <w:p w:rsidR="00FA29F5" w:rsidRDefault="00FA29F5" w:rsidP="00D85D4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432" w:hanging="432"/>
      </w:pPr>
      <w:r w:rsidRPr="00D85D45">
        <w:rPr>
          <w:b/>
        </w:rPr>
        <w:t>Diane L. Magary</w:t>
      </w:r>
      <w:r>
        <w:t xml:space="preserve">, Assistant Professor, Business Scholars Program.  </w:t>
      </w:r>
      <w:proofErr w:type="gramStart"/>
      <w:r>
        <w:t>B.A., Hanover College; M.B.A., Duke University.</w:t>
      </w:r>
      <w:proofErr w:type="gramEnd"/>
      <w:r>
        <w:t xml:space="preserve">  Diane was Director, Marketing Development at Ethicon Endo-Surgery, a Johnson &amp; Johnson Company. She has a wide range of experience in business.</w:t>
      </w:r>
    </w:p>
    <w:p w:rsidR="00FA29F5" w:rsidRDefault="00FA29F5" w:rsidP="00FA29F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A29F5" w:rsidRDefault="00FA29F5" w:rsidP="00D85D4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432" w:hanging="432"/>
      </w:pPr>
      <w:proofErr w:type="spellStart"/>
      <w:r w:rsidRPr="00D85D45">
        <w:rPr>
          <w:b/>
        </w:rPr>
        <w:lastRenderedPageBreak/>
        <w:t>Glené</w:t>
      </w:r>
      <w:proofErr w:type="spellEnd"/>
      <w:r w:rsidRPr="00D85D45">
        <w:rPr>
          <w:b/>
        </w:rPr>
        <w:t xml:space="preserve"> </w:t>
      </w:r>
      <w:proofErr w:type="spellStart"/>
      <w:r w:rsidRPr="00D85D45">
        <w:rPr>
          <w:b/>
        </w:rPr>
        <w:t>Mynhardt</w:t>
      </w:r>
      <w:proofErr w:type="spellEnd"/>
      <w:r>
        <w:t xml:space="preserve">, Assistant Professor of Biology.  B.S. University of Texas-Austin; M.A., Texas A&amp;M University; Ph.D., </w:t>
      </w:r>
      <w:proofErr w:type="gramStart"/>
      <w:r>
        <w:t>The</w:t>
      </w:r>
      <w:proofErr w:type="gramEnd"/>
      <w:r>
        <w:t xml:space="preserve"> Ohio State University.  She was most recently a Howard Hughes Medical Institute postdoctoral teaching fellow at Iowa State University.</w:t>
      </w:r>
    </w:p>
    <w:p w:rsidR="00FA29F5" w:rsidRDefault="00FA29F5" w:rsidP="00FA29F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A29F5" w:rsidRPr="00FA29F5" w:rsidRDefault="00FA29F5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FA29F5">
        <w:rPr>
          <w:b/>
        </w:rPr>
        <w:t xml:space="preserve">Existing </w:t>
      </w:r>
      <w:r>
        <w:rPr>
          <w:b/>
        </w:rPr>
        <w:t xml:space="preserve">Faculty </w:t>
      </w:r>
      <w:r w:rsidRPr="00FA29F5">
        <w:rPr>
          <w:b/>
        </w:rPr>
        <w:t>Positions</w:t>
      </w:r>
    </w:p>
    <w:p w:rsidR="00714A68" w:rsidRDefault="00714A68" w:rsidP="00D85D4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432" w:hanging="432"/>
      </w:pPr>
      <w:r w:rsidRPr="00D85D45">
        <w:rPr>
          <w:b/>
        </w:rPr>
        <w:t xml:space="preserve">Nuan </w:t>
      </w:r>
      <w:proofErr w:type="gramStart"/>
      <w:r w:rsidRPr="00D85D45">
        <w:rPr>
          <w:b/>
        </w:rPr>
        <w:t>Gao</w:t>
      </w:r>
      <w:proofErr w:type="gramEnd"/>
      <w:r>
        <w:t xml:space="preserve">, Assistant Professor of History.  </w:t>
      </w:r>
      <w:proofErr w:type="gramStart"/>
      <w:r>
        <w:t xml:space="preserve">B.A., M.A., </w:t>
      </w:r>
      <w:r w:rsidR="00D85D45">
        <w:t xml:space="preserve">Beijing </w:t>
      </w:r>
      <w:r>
        <w:t>University, Ph.D., University of California</w:t>
      </w:r>
      <w:r w:rsidR="00FA29F5">
        <w:t>-</w:t>
      </w:r>
      <w:r>
        <w:t>Irvine.</w:t>
      </w:r>
      <w:proofErr w:type="gramEnd"/>
      <w:r>
        <w:t xml:space="preserve">  She was a visiting assistant professor at Richard Stockton College of New Jersey</w:t>
      </w:r>
      <w:r w:rsidR="00D85D45">
        <w:t xml:space="preserve">, </w:t>
      </w:r>
      <w:r w:rsidR="00B855D9">
        <w:t>s</w:t>
      </w:r>
      <w:r>
        <w:t>pecializing in modern Chinese history.</w:t>
      </w:r>
    </w:p>
    <w:p w:rsidR="00714A68" w:rsidRDefault="00714A68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714A68" w:rsidRDefault="00714A68" w:rsidP="00D85D4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432" w:hanging="432"/>
      </w:pPr>
      <w:r w:rsidRPr="00D85D45">
        <w:rPr>
          <w:b/>
        </w:rPr>
        <w:t>Mridula Mascarenhas</w:t>
      </w:r>
      <w:r>
        <w:t>, Instructor of Communication.  B.A., St. Xavier’s College (India); M.A., Mumbai University (India); M.A. Unive</w:t>
      </w:r>
      <w:r w:rsidR="003807F7">
        <w:t>rsity of Wisconsin-Milwaukee; Ph.D. expected December 2013, University of Wisconsin-Milwaukee.  She has taught full-time at Saint Cloud State University and Ithaca College.</w:t>
      </w:r>
    </w:p>
    <w:p w:rsidR="003807F7" w:rsidRDefault="003807F7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3807F7" w:rsidRDefault="003807F7" w:rsidP="00D85D4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432" w:hanging="432"/>
      </w:pPr>
      <w:r w:rsidRPr="00D85D45">
        <w:rPr>
          <w:b/>
        </w:rPr>
        <w:t>J. Michael Raley</w:t>
      </w:r>
      <w:r>
        <w:t>, Assistant Professor of His</w:t>
      </w:r>
      <w:r w:rsidR="00B855D9">
        <w:t>tory.  B.M. Belmont College; M.M</w:t>
      </w:r>
      <w:r>
        <w:t>., University of Louisville; M.A., Southern Illinois University-Carbondale; Ph.D., University of Chicago.</w:t>
      </w:r>
      <w:r w:rsidR="00D85D45">
        <w:t xml:space="preserve">  </w:t>
      </w:r>
      <w:r>
        <w:t>Mike was a visiting professor at Alma College.  He had a brief c</w:t>
      </w:r>
      <w:r w:rsidR="00B855D9">
        <w:t>areer as a professional symphony</w:t>
      </w:r>
      <w:r>
        <w:t xml:space="preserve"> musician with the Louisville Orchestra.</w:t>
      </w:r>
    </w:p>
    <w:p w:rsidR="003807F7" w:rsidRDefault="003807F7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A29F5" w:rsidRPr="00FA29F5" w:rsidRDefault="00FA29F5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FA29F5">
        <w:rPr>
          <w:b/>
        </w:rPr>
        <w:t>New Joint Faculty Position</w:t>
      </w:r>
    </w:p>
    <w:p w:rsidR="003807F7" w:rsidRDefault="003807F7" w:rsidP="004C2DF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432" w:hanging="432"/>
      </w:pPr>
      <w:r w:rsidRPr="00D85D45">
        <w:rPr>
          <w:b/>
        </w:rPr>
        <w:t>Jui-Man Wu</w:t>
      </w:r>
      <w:r>
        <w:t xml:space="preserve">, Assistant Professor of Art History.  </w:t>
      </w:r>
      <w:proofErr w:type="gramStart"/>
      <w:r>
        <w:t xml:space="preserve">B.A., </w:t>
      </w:r>
      <w:proofErr w:type="spellStart"/>
      <w:r>
        <w:t>Tunghai</w:t>
      </w:r>
      <w:proofErr w:type="spellEnd"/>
      <w:r>
        <w:t xml:space="preserve"> University (Taiwan); M.A., National Institute of the Arts (Taiwan), M.A., Ph.D., University of Pittsburgh.</w:t>
      </w:r>
      <w:proofErr w:type="gramEnd"/>
      <w:r>
        <w:t xml:space="preserve">  Mandy joins her husband, Xiaolong Wu, in a joint contract in the Art and Art History Depar</w:t>
      </w:r>
      <w:r w:rsidR="00FA29F5">
        <w:t>tment</w:t>
      </w:r>
      <w:r>
        <w:t xml:space="preserve">.  She was </w:t>
      </w:r>
      <w:r w:rsidR="00FA29F5">
        <w:t xml:space="preserve">most recently </w:t>
      </w:r>
      <w:r>
        <w:t>the An Wang Postdoctoral Fellow at the Fairbank Center of Chinese Studies at Harvard University.</w:t>
      </w:r>
    </w:p>
    <w:p w:rsidR="003807F7" w:rsidRDefault="003807F7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p w:rsidR="00FA29F5" w:rsidRPr="00FA29F5" w:rsidRDefault="00FA29F5" w:rsidP="002D205C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  <w:r w:rsidRPr="00FA29F5">
        <w:rPr>
          <w:b/>
        </w:rPr>
        <w:t>Existing Professional Librarian Position</w:t>
      </w:r>
    </w:p>
    <w:p w:rsidR="004A4AD4" w:rsidRPr="002D205C" w:rsidRDefault="003807F7" w:rsidP="004C2DF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432" w:hanging="432"/>
        <w:rPr>
          <w:b/>
        </w:rPr>
      </w:pPr>
      <w:r w:rsidRPr="00D85D45">
        <w:rPr>
          <w:b/>
        </w:rPr>
        <w:t>Angela White</w:t>
      </w:r>
      <w:r>
        <w:t>, Archi</w:t>
      </w:r>
      <w:r w:rsidR="002D205C">
        <w:t xml:space="preserve">ves/Public Services Librarian. </w:t>
      </w:r>
      <w:proofErr w:type="gramStart"/>
      <w:r w:rsidR="002D205C">
        <w:t>B.A., Michigan State University; M.A., Ph.D., Indiana University; M.S.L.S., Simmons College.</w:t>
      </w:r>
      <w:proofErr w:type="gramEnd"/>
      <w:r w:rsidR="002D205C">
        <w:t xml:space="preserve">  Angela was an Archival Assistant at The Episcopal Diocese of Massachusetts and a librarian at Norwell Public Library.</w:t>
      </w:r>
    </w:p>
    <w:p w:rsidR="002D205C" w:rsidRDefault="002D205C" w:rsidP="004A4AD4">
      <w:pPr>
        <w:rPr>
          <w:rFonts w:eastAsiaTheme="minorHAnsi" w:cstheme="minorBidi"/>
          <w:szCs w:val="22"/>
        </w:rPr>
      </w:pPr>
    </w:p>
    <w:p w:rsidR="00F13342" w:rsidRDefault="00F13342" w:rsidP="004A4AD4">
      <w:pPr>
        <w:rPr>
          <w:rFonts w:eastAsiaTheme="minorHAnsi" w:cstheme="minorBidi"/>
          <w:szCs w:val="22"/>
        </w:rPr>
      </w:pPr>
    </w:p>
    <w:p w:rsidR="002D205C" w:rsidRDefault="002D205C" w:rsidP="002D205C">
      <w:pPr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Faculty Retirement</w:t>
      </w:r>
    </w:p>
    <w:p w:rsidR="004A4AD4" w:rsidRDefault="004A4AD4" w:rsidP="004C2DFE">
      <w:pPr>
        <w:ind w:left="720" w:hanging="720"/>
        <w:rPr>
          <w:rFonts w:eastAsiaTheme="minorHAnsi" w:cstheme="minorBidi"/>
          <w:szCs w:val="22"/>
        </w:rPr>
      </w:pPr>
      <w:r w:rsidRPr="00D85D45">
        <w:rPr>
          <w:rFonts w:eastAsiaTheme="minorHAnsi" w:cstheme="minorBidi"/>
          <w:b/>
          <w:szCs w:val="22"/>
        </w:rPr>
        <w:t>Barbara Garv</w:t>
      </w:r>
      <w:r w:rsidR="002D205C" w:rsidRPr="00D85D45">
        <w:rPr>
          <w:rFonts w:eastAsiaTheme="minorHAnsi" w:cstheme="minorBidi"/>
          <w:b/>
          <w:szCs w:val="22"/>
        </w:rPr>
        <w:t>ey</w:t>
      </w:r>
      <w:r w:rsidR="002D205C">
        <w:rPr>
          <w:rFonts w:eastAsiaTheme="minorHAnsi" w:cstheme="minorBidi"/>
          <w:szCs w:val="22"/>
        </w:rPr>
        <w:t>, Professor of Communication,</w:t>
      </w:r>
      <w:r>
        <w:rPr>
          <w:rFonts w:eastAsiaTheme="minorHAnsi" w:cstheme="minorBidi"/>
          <w:szCs w:val="22"/>
        </w:rPr>
        <w:t xml:space="preserve"> retire</w:t>
      </w:r>
      <w:r w:rsidR="002D205C">
        <w:rPr>
          <w:rFonts w:eastAsiaTheme="minorHAnsi" w:cstheme="minorBidi"/>
          <w:szCs w:val="22"/>
        </w:rPr>
        <w:t>d</w:t>
      </w:r>
      <w:r>
        <w:rPr>
          <w:rFonts w:eastAsiaTheme="minorHAnsi" w:cstheme="minorBidi"/>
          <w:szCs w:val="22"/>
        </w:rPr>
        <w:t xml:space="preserve"> at the end of </w:t>
      </w:r>
      <w:r w:rsidR="00F13342">
        <w:rPr>
          <w:rFonts w:eastAsiaTheme="minorHAnsi" w:cstheme="minorBidi"/>
          <w:szCs w:val="22"/>
        </w:rPr>
        <w:t xml:space="preserve">AY </w:t>
      </w:r>
      <w:r>
        <w:rPr>
          <w:rFonts w:eastAsiaTheme="minorHAnsi" w:cstheme="minorBidi"/>
          <w:szCs w:val="22"/>
        </w:rPr>
        <w:t xml:space="preserve">2012-2013, following </w:t>
      </w:r>
      <w:r w:rsidR="00F30658">
        <w:rPr>
          <w:rFonts w:eastAsiaTheme="minorHAnsi" w:cstheme="minorBidi"/>
          <w:szCs w:val="22"/>
        </w:rPr>
        <w:t>36</w:t>
      </w:r>
      <w:r>
        <w:rPr>
          <w:rFonts w:eastAsiaTheme="minorHAnsi" w:cstheme="minorBidi"/>
          <w:szCs w:val="22"/>
        </w:rPr>
        <w:t xml:space="preserve"> years of service to the department and to the College.</w:t>
      </w:r>
    </w:p>
    <w:p w:rsidR="004A4AD4" w:rsidRDefault="004A4AD4" w:rsidP="004A4AD4">
      <w:pPr>
        <w:rPr>
          <w:rFonts w:eastAsiaTheme="minorHAnsi" w:cstheme="minorBidi"/>
          <w:szCs w:val="22"/>
        </w:rPr>
      </w:pPr>
    </w:p>
    <w:p w:rsidR="004A4AD4" w:rsidRDefault="004A4AD4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</w:p>
    <w:p w:rsidR="00421DBC" w:rsidRPr="00710F93" w:rsidRDefault="00421DBC" w:rsidP="0015549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b/>
        </w:rPr>
      </w:pPr>
    </w:p>
    <w:p w:rsidR="00362A0B" w:rsidRPr="00710F93" w:rsidRDefault="00362A0B" w:rsidP="000A1DEA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864" w:hanging="864"/>
      </w:pPr>
    </w:p>
    <w:p w:rsidR="00532E13" w:rsidRPr="00532E13" w:rsidRDefault="008F73E9" w:rsidP="008F73E9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 </w:t>
      </w:r>
    </w:p>
    <w:p w:rsidR="004871FB" w:rsidRPr="00CA2A0C" w:rsidRDefault="004871FB" w:rsidP="000A1DEA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ind w:left="864" w:hanging="864"/>
        <w:rPr>
          <w:color w:val="4F81BD" w:themeColor="accent1"/>
        </w:rPr>
      </w:pPr>
      <w:bookmarkStart w:id="0" w:name="_GoBack"/>
      <w:bookmarkEnd w:id="0"/>
    </w:p>
    <w:sectPr w:rsidR="004871FB" w:rsidRPr="00CA2A0C" w:rsidSect="00C258EB">
      <w:headerReference w:type="default" r:id="rId8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B5" w:rsidRDefault="00C658B5" w:rsidP="00710F93">
      <w:r>
        <w:separator/>
      </w:r>
    </w:p>
  </w:endnote>
  <w:endnote w:type="continuationSeparator" w:id="0">
    <w:p w:rsidR="00C658B5" w:rsidRDefault="00C658B5" w:rsidP="0071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B5" w:rsidRDefault="00C658B5" w:rsidP="00710F93">
      <w:r>
        <w:separator/>
      </w:r>
    </w:p>
  </w:footnote>
  <w:footnote w:type="continuationSeparator" w:id="0">
    <w:p w:rsidR="00C658B5" w:rsidRDefault="00C658B5" w:rsidP="0071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3" w:rsidRDefault="00856F74">
    <w:pPr>
      <w:pStyle w:val="Header"/>
      <w:jc w:val="right"/>
    </w:pPr>
    <w:r>
      <w:fldChar w:fldCharType="begin"/>
    </w:r>
    <w:r w:rsidR="007A086E">
      <w:instrText xml:space="preserve"> PAGE   \* MERGEFORMAT </w:instrText>
    </w:r>
    <w:r>
      <w:fldChar w:fldCharType="separate"/>
    </w:r>
    <w:r w:rsidR="000E5658">
      <w:rPr>
        <w:noProof/>
      </w:rPr>
      <w:t>4</w:t>
    </w:r>
    <w:r>
      <w:rPr>
        <w:noProof/>
      </w:rPr>
      <w:fldChar w:fldCharType="end"/>
    </w:r>
  </w:p>
  <w:p w:rsidR="00710F93" w:rsidRDefault="00710F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3B"/>
    <w:multiLevelType w:val="hybridMultilevel"/>
    <w:tmpl w:val="AA4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5257"/>
    <w:multiLevelType w:val="hybridMultilevel"/>
    <w:tmpl w:val="5A66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7472"/>
    <w:multiLevelType w:val="hybridMultilevel"/>
    <w:tmpl w:val="4D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0AF9"/>
    <w:multiLevelType w:val="hybridMultilevel"/>
    <w:tmpl w:val="45844DB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78430B6"/>
    <w:multiLevelType w:val="hybridMultilevel"/>
    <w:tmpl w:val="F56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0737"/>
    <w:multiLevelType w:val="hybridMultilevel"/>
    <w:tmpl w:val="B546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327"/>
    <w:multiLevelType w:val="hybridMultilevel"/>
    <w:tmpl w:val="82FE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73B8"/>
    <w:multiLevelType w:val="hybridMultilevel"/>
    <w:tmpl w:val="76F8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5AF1"/>
    <w:multiLevelType w:val="hybridMultilevel"/>
    <w:tmpl w:val="45CE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574A3"/>
    <w:multiLevelType w:val="hybridMultilevel"/>
    <w:tmpl w:val="BA98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550D4"/>
    <w:multiLevelType w:val="hybridMultilevel"/>
    <w:tmpl w:val="22F8E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1AA409F"/>
    <w:multiLevelType w:val="hybridMultilevel"/>
    <w:tmpl w:val="C41A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D0344"/>
    <w:multiLevelType w:val="hybridMultilevel"/>
    <w:tmpl w:val="472E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A0F37"/>
    <w:multiLevelType w:val="hybridMultilevel"/>
    <w:tmpl w:val="E982DA6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661D353A"/>
    <w:multiLevelType w:val="hybridMultilevel"/>
    <w:tmpl w:val="618A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A4089"/>
    <w:multiLevelType w:val="hybridMultilevel"/>
    <w:tmpl w:val="02B4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523E5"/>
    <w:multiLevelType w:val="hybridMultilevel"/>
    <w:tmpl w:val="26C6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7D5"/>
    <w:multiLevelType w:val="hybridMultilevel"/>
    <w:tmpl w:val="09E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D3289"/>
    <w:multiLevelType w:val="hybridMultilevel"/>
    <w:tmpl w:val="E1EA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F3789"/>
    <w:multiLevelType w:val="hybridMultilevel"/>
    <w:tmpl w:val="904AF6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15"/>
  </w:num>
  <w:num w:numId="12">
    <w:abstractNumId w:val="18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19"/>
  </w:num>
  <w:num w:numId="18">
    <w:abstractNumId w:val="6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C57"/>
    <w:rsid w:val="00005348"/>
    <w:rsid w:val="00005F41"/>
    <w:rsid w:val="000064CE"/>
    <w:rsid w:val="00010FD3"/>
    <w:rsid w:val="00036EF4"/>
    <w:rsid w:val="00063599"/>
    <w:rsid w:val="00064714"/>
    <w:rsid w:val="00067943"/>
    <w:rsid w:val="00074220"/>
    <w:rsid w:val="000A1DEA"/>
    <w:rsid w:val="000A56C8"/>
    <w:rsid w:val="000B2265"/>
    <w:rsid w:val="000C313F"/>
    <w:rsid w:val="000C6033"/>
    <w:rsid w:val="000C638F"/>
    <w:rsid w:val="000D4E95"/>
    <w:rsid w:val="000E5658"/>
    <w:rsid w:val="000F0F5E"/>
    <w:rsid w:val="0011074D"/>
    <w:rsid w:val="001144A7"/>
    <w:rsid w:val="001255B0"/>
    <w:rsid w:val="001337E3"/>
    <w:rsid w:val="0015549E"/>
    <w:rsid w:val="001622B4"/>
    <w:rsid w:val="0017209A"/>
    <w:rsid w:val="0018093F"/>
    <w:rsid w:val="001821E9"/>
    <w:rsid w:val="001842E3"/>
    <w:rsid w:val="001862C2"/>
    <w:rsid w:val="00192DB5"/>
    <w:rsid w:val="00194B6B"/>
    <w:rsid w:val="001A1858"/>
    <w:rsid w:val="001B6769"/>
    <w:rsid w:val="001D1433"/>
    <w:rsid w:val="001E6A11"/>
    <w:rsid w:val="001F1E21"/>
    <w:rsid w:val="00200922"/>
    <w:rsid w:val="002039C6"/>
    <w:rsid w:val="002129C1"/>
    <w:rsid w:val="00212E14"/>
    <w:rsid w:val="00215B0C"/>
    <w:rsid w:val="00224B97"/>
    <w:rsid w:val="00226760"/>
    <w:rsid w:val="00233D92"/>
    <w:rsid w:val="00253FB7"/>
    <w:rsid w:val="0028520D"/>
    <w:rsid w:val="00297ACB"/>
    <w:rsid w:val="002A114D"/>
    <w:rsid w:val="002A6D1F"/>
    <w:rsid w:val="002B1CAE"/>
    <w:rsid w:val="002B4657"/>
    <w:rsid w:val="002B6037"/>
    <w:rsid w:val="002D205C"/>
    <w:rsid w:val="002D32D5"/>
    <w:rsid w:val="002D5405"/>
    <w:rsid w:val="002D7F6F"/>
    <w:rsid w:val="002F5B85"/>
    <w:rsid w:val="002F682C"/>
    <w:rsid w:val="003160DF"/>
    <w:rsid w:val="00317027"/>
    <w:rsid w:val="00320266"/>
    <w:rsid w:val="00321265"/>
    <w:rsid w:val="0032606D"/>
    <w:rsid w:val="00342979"/>
    <w:rsid w:val="003600FF"/>
    <w:rsid w:val="00362A0B"/>
    <w:rsid w:val="003807F7"/>
    <w:rsid w:val="00385183"/>
    <w:rsid w:val="00386DF4"/>
    <w:rsid w:val="00391256"/>
    <w:rsid w:val="003A0E5C"/>
    <w:rsid w:val="003B3093"/>
    <w:rsid w:val="003C7B88"/>
    <w:rsid w:val="003D27F3"/>
    <w:rsid w:val="003E7A63"/>
    <w:rsid w:val="003F508C"/>
    <w:rsid w:val="00421DBC"/>
    <w:rsid w:val="00432D21"/>
    <w:rsid w:val="00432DCB"/>
    <w:rsid w:val="0044142D"/>
    <w:rsid w:val="00446096"/>
    <w:rsid w:val="0044620E"/>
    <w:rsid w:val="00454B72"/>
    <w:rsid w:val="004637E2"/>
    <w:rsid w:val="00471552"/>
    <w:rsid w:val="00476F00"/>
    <w:rsid w:val="004871FB"/>
    <w:rsid w:val="004970AD"/>
    <w:rsid w:val="004A04B1"/>
    <w:rsid w:val="004A4AD4"/>
    <w:rsid w:val="004B3DD2"/>
    <w:rsid w:val="004B542F"/>
    <w:rsid w:val="004C0325"/>
    <w:rsid w:val="004C05BB"/>
    <w:rsid w:val="004C2DFE"/>
    <w:rsid w:val="004C5B7B"/>
    <w:rsid w:val="004D4037"/>
    <w:rsid w:val="004D7C08"/>
    <w:rsid w:val="004E0AFB"/>
    <w:rsid w:val="004E43AC"/>
    <w:rsid w:val="004F52DA"/>
    <w:rsid w:val="0050061E"/>
    <w:rsid w:val="00506C9F"/>
    <w:rsid w:val="005118EC"/>
    <w:rsid w:val="0051583E"/>
    <w:rsid w:val="005267A9"/>
    <w:rsid w:val="00532E13"/>
    <w:rsid w:val="00534F87"/>
    <w:rsid w:val="00535D20"/>
    <w:rsid w:val="005430D1"/>
    <w:rsid w:val="005461C6"/>
    <w:rsid w:val="00556799"/>
    <w:rsid w:val="00571AB1"/>
    <w:rsid w:val="00573E73"/>
    <w:rsid w:val="00595C57"/>
    <w:rsid w:val="005C252F"/>
    <w:rsid w:val="005C3ADE"/>
    <w:rsid w:val="005D71AC"/>
    <w:rsid w:val="005E47D7"/>
    <w:rsid w:val="0062135B"/>
    <w:rsid w:val="0062670A"/>
    <w:rsid w:val="006640AC"/>
    <w:rsid w:val="00677608"/>
    <w:rsid w:val="0067760D"/>
    <w:rsid w:val="00685C82"/>
    <w:rsid w:val="00690809"/>
    <w:rsid w:val="00692DF3"/>
    <w:rsid w:val="006A4676"/>
    <w:rsid w:val="006A4932"/>
    <w:rsid w:val="006A6508"/>
    <w:rsid w:val="006A6A9C"/>
    <w:rsid w:val="006A6B5A"/>
    <w:rsid w:val="006C7EEB"/>
    <w:rsid w:val="006D3B81"/>
    <w:rsid w:val="006E6A2A"/>
    <w:rsid w:val="00710F93"/>
    <w:rsid w:val="00711239"/>
    <w:rsid w:val="00711CC1"/>
    <w:rsid w:val="00714A68"/>
    <w:rsid w:val="00721D10"/>
    <w:rsid w:val="00725CB2"/>
    <w:rsid w:val="0074247C"/>
    <w:rsid w:val="007477C3"/>
    <w:rsid w:val="00750920"/>
    <w:rsid w:val="00752BCD"/>
    <w:rsid w:val="00754262"/>
    <w:rsid w:val="00794140"/>
    <w:rsid w:val="007A086E"/>
    <w:rsid w:val="007A555E"/>
    <w:rsid w:val="007B198A"/>
    <w:rsid w:val="007B7498"/>
    <w:rsid w:val="007C4558"/>
    <w:rsid w:val="007C6A79"/>
    <w:rsid w:val="007E1BA1"/>
    <w:rsid w:val="007E33C1"/>
    <w:rsid w:val="007F095A"/>
    <w:rsid w:val="00806A11"/>
    <w:rsid w:val="0081487C"/>
    <w:rsid w:val="00827142"/>
    <w:rsid w:val="008306B7"/>
    <w:rsid w:val="00843CCD"/>
    <w:rsid w:val="00856F74"/>
    <w:rsid w:val="008576DD"/>
    <w:rsid w:val="008579F0"/>
    <w:rsid w:val="00860403"/>
    <w:rsid w:val="008649B9"/>
    <w:rsid w:val="00870990"/>
    <w:rsid w:val="00873500"/>
    <w:rsid w:val="00883A0F"/>
    <w:rsid w:val="0089235E"/>
    <w:rsid w:val="008925AB"/>
    <w:rsid w:val="008B2EEC"/>
    <w:rsid w:val="008B6704"/>
    <w:rsid w:val="008C4342"/>
    <w:rsid w:val="008C4BAF"/>
    <w:rsid w:val="008F73E9"/>
    <w:rsid w:val="00904200"/>
    <w:rsid w:val="009051D7"/>
    <w:rsid w:val="00916006"/>
    <w:rsid w:val="00925563"/>
    <w:rsid w:val="00942EC9"/>
    <w:rsid w:val="00946F2C"/>
    <w:rsid w:val="009522A3"/>
    <w:rsid w:val="00955286"/>
    <w:rsid w:val="009576EF"/>
    <w:rsid w:val="00964E2B"/>
    <w:rsid w:val="009743CF"/>
    <w:rsid w:val="009A1444"/>
    <w:rsid w:val="009A7D47"/>
    <w:rsid w:val="009B3662"/>
    <w:rsid w:val="009E39C8"/>
    <w:rsid w:val="009E6A99"/>
    <w:rsid w:val="009F0A99"/>
    <w:rsid w:val="009F6A41"/>
    <w:rsid w:val="009F705A"/>
    <w:rsid w:val="009F776A"/>
    <w:rsid w:val="00A0274E"/>
    <w:rsid w:val="00A06F79"/>
    <w:rsid w:val="00A1468B"/>
    <w:rsid w:val="00A20B1B"/>
    <w:rsid w:val="00A22678"/>
    <w:rsid w:val="00A47BED"/>
    <w:rsid w:val="00A539C3"/>
    <w:rsid w:val="00A56ECA"/>
    <w:rsid w:val="00A63DED"/>
    <w:rsid w:val="00A6643C"/>
    <w:rsid w:val="00A71F75"/>
    <w:rsid w:val="00A8064A"/>
    <w:rsid w:val="00A8284A"/>
    <w:rsid w:val="00A90550"/>
    <w:rsid w:val="00AA24BD"/>
    <w:rsid w:val="00AA5AC3"/>
    <w:rsid w:val="00AA6A78"/>
    <w:rsid w:val="00AA785E"/>
    <w:rsid w:val="00AB38E2"/>
    <w:rsid w:val="00AB689C"/>
    <w:rsid w:val="00AC0452"/>
    <w:rsid w:val="00AD1518"/>
    <w:rsid w:val="00AD743E"/>
    <w:rsid w:val="00AE6781"/>
    <w:rsid w:val="00AF6C3F"/>
    <w:rsid w:val="00B03C3A"/>
    <w:rsid w:val="00B11557"/>
    <w:rsid w:val="00B15EEC"/>
    <w:rsid w:val="00B236B7"/>
    <w:rsid w:val="00B317ED"/>
    <w:rsid w:val="00B37B0D"/>
    <w:rsid w:val="00B5073F"/>
    <w:rsid w:val="00B52BD0"/>
    <w:rsid w:val="00B8196B"/>
    <w:rsid w:val="00B855D9"/>
    <w:rsid w:val="00B96EB7"/>
    <w:rsid w:val="00BD1963"/>
    <w:rsid w:val="00BD3C14"/>
    <w:rsid w:val="00BE5C22"/>
    <w:rsid w:val="00BF1A5A"/>
    <w:rsid w:val="00BF1F68"/>
    <w:rsid w:val="00BF597C"/>
    <w:rsid w:val="00C02C32"/>
    <w:rsid w:val="00C113F3"/>
    <w:rsid w:val="00C135B4"/>
    <w:rsid w:val="00C258EB"/>
    <w:rsid w:val="00C25A2B"/>
    <w:rsid w:val="00C273E0"/>
    <w:rsid w:val="00C471CC"/>
    <w:rsid w:val="00C54FB8"/>
    <w:rsid w:val="00C658B5"/>
    <w:rsid w:val="00C65A04"/>
    <w:rsid w:val="00C87056"/>
    <w:rsid w:val="00C87807"/>
    <w:rsid w:val="00CA2A0C"/>
    <w:rsid w:val="00CA5CD9"/>
    <w:rsid w:val="00CB1641"/>
    <w:rsid w:val="00CB4EAF"/>
    <w:rsid w:val="00CC2AB7"/>
    <w:rsid w:val="00CE3706"/>
    <w:rsid w:val="00CF0191"/>
    <w:rsid w:val="00CF08B7"/>
    <w:rsid w:val="00CF6AAE"/>
    <w:rsid w:val="00D131A1"/>
    <w:rsid w:val="00D140DB"/>
    <w:rsid w:val="00D539EB"/>
    <w:rsid w:val="00D56638"/>
    <w:rsid w:val="00D74AD1"/>
    <w:rsid w:val="00D76829"/>
    <w:rsid w:val="00D85D45"/>
    <w:rsid w:val="00D93518"/>
    <w:rsid w:val="00D974D1"/>
    <w:rsid w:val="00DA58AB"/>
    <w:rsid w:val="00DA6C14"/>
    <w:rsid w:val="00DA7221"/>
    <w:rsid w:val="00DB56CA"/>
    <w:rsid w:val="00DC2E54"/>
    <w:rsid w:val="00DC39D4"/>
    <w:rsid w:val="00DC6CD1"/>
    <w:rsid w:val="00DC76C3"/>
    <w:rsid w:val="00DC7AF3"/>
    <w:rsid w:val="00DD01F7"/>
    <w:rsid w:val="00DD7CAE"/>
    <w:rsid w:val="00DE1FB0"/>
    <w:rsid w:val="00DE60B5"/>
    <w:rsid w:val="00DF494A"/>
    <w:rsid w:val="00E036F3"/>
    <w:rsid w:val="00E11CB1"/>
    <w:rsid w:val="00E12650"/>
    <w:rsid w:val="00E13664"/>
    <w:rsid w:val="00E13F7C"/>
    <w:rsid w:val="00E212C2"/>
    <w:rsid w:val="00E303CA"/>
    <w:rsid w:val="00E3206A"/>
    <w:rsid w:val="00E34C36"/>
    <w:rsid w:val="00E50ED6"/>
    <w:rsid w:val="00E54386"/>
    <w:rsid w:val="00E56C5C"/>
    <w:rsid w:val="00E579EA"/>
    <w:rsid w:val="00E63C0A"/>
    <w:rsid w:val="00E652EB"/>
    <w:rsid w:val="00E73B20"/>
    <w:rsid w:val="00E86006"/>
    <w:rsid w:val="00E86222"/>
    <w:rsid w:val="00E900DB"/>
    <w:rsid w:val="00E96F96"/>
    <w:rsid w:val="00EA5F91"/>
    <w:rsid w:val="00ED4287"/>
    <w:rsid w:val="00ED688E"/>
    <w:rsid w:val="00EE0A23"/>
    <w:rsid w:val="00EE2E01"/>
    <w:rsid w:val="00EE7373"/>
    <w:rsid w:val="00EF0F1B"/>
    <w:rsid w:val="00EF15DB"/>
    <w:rsid w:val="00F030BA"/>
    <w:rsid w:val="00F11786"/>
    <w:rsid w:val="00F13342"/>
    <w:rsid w:val="00F21F40"/>
    <w:rsid w:val="00F237C2"/>
    <w:rsid w:val="00F30658"/>
    <w:rsid w:val="00F436CC"/>
    <w:rsid w:val="00F45A27"/>
    <w:rsid w:val="00F52E51"/>
    <w:rsid w:val="00F57B91"/>
    <w:rsid w:val="00F8664C"/>
    <w:rsid w:val="00F922C2"/>
    <w:rsid w:val="00F93627"/>
    <w:rsid w:val="00F97867"/>
    <w:rsid w:val="00FA29F5"/>
    <w:rsid w:val="00FC73E4"/>
    <w:rsid w:val="00FD2381"/>
    <w:rsid w:val="00FE3F22"/>
    <w:rsid w:val="00FF0970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1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F7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qFormat/>
    <w:rsid w:val="001255B0"/>
    <w:pPr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4871F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10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93"/>
    <w:rPr>
      <w:sz w:val="24"/>
      <w:szCs w:val="24"/>
    </w:rPr>
  </w:style>
  <w:style w:type="paragraph" w:styleId="Footer">
    <w:name w:val="footer"/>
    <w:basedOn w:val="Normal"/>
    <w:link w:val="FooterChar"/>
    <w:rsid w:val="00710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0F93"/>
    <w:rPr>
      <w:sz w:val="24"/>
      <w:szCs w:val="24"/>
    </w:rPr>
  </w:style>
  <w:style w:type="character" w:customStyle="1" w:styleId="s4">
    <w:name w:val="s4"/>
    <w:basedOn w:val="DefaultParagraphFont"/>
    <w:rsid w:val="00DC76C3"/>
  </w:style>
  <w:style w:type="character" w:styleId="Hyperlink">
    <w:name w:val="Hyperlink"/>
    <w:basedOn w:val="DefaultParagraphFont"/>
    <w:rsid w:val="00E86222"/>
    <w:rPr>
      <w:color w:val="0000FF" w:themeColor="hyperlink"/>
      <w:u w:val="single"/>
    </w:rPr>
  </w:style>
  <w:style w:type="table" w:styleId="TableGrid">
    <w:name w:val="Table Grid"/>
    <w:basedOn w:val="TableNormal"/>
    <w:rsid w:val="00BD3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1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F7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qFormat/>
    <w:rsid w:val="001255B0"/>
    <w:pPr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4871F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10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93"/>
    <w:rPr>
      <w:sz w:val="24"/>
      <w:szCs w:val="24"/>
    </w:rPr>
  </w:style>
  <w:style w:type="paragraph" w:styleId="Footer">
    <w:name w:val="footer"/>
    <w:basedOn w:val="Normal"/>
    <w:link w:val="FooterChar"/>
    <w:rsid w:val="00710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0F93"/>
    <w:rPr>
      <w:sz w:val="24"/>
      <w:szCs w:val="24"/>
    </w:rPr>
  </w:style>
  <w:style w:type="character" w:customStyle="1" w:styleId="s4">
    <w:name w:val="s4"/>
    <w:basedOn w:val="DefaultParagraphFont"/>
    <w:rsid w:val="00DC76C3"/>
  </w:style>
  <w:style w:type="character" w:styleId="Hyperlink">
    <w:name w:val="Hyperlink"/>
    <w:basedOn w:val="DefaultParagraphFont"/>
    <w:rsid w:val="00E86222"/>
    <w:rPr>
      <w:color w:val="0000FF" w:themeColor="hyperlink"/>
      <w:u w:val="single"/>
    </w:rPr>
  </w:style>
  <w:style w:type="table" w:styleId="TableGrid">
    <w:name w:val="Table Grid"/>
    <w:basedOn w:val="TableNormal"/>
    <w:rsid w:val="00BD3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health.hanover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 Issues</vt:lpstr>
    </vt:vector>
  </TitlesOfParts>
  <Company>Hanover College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 Issues</dc:title>
  <dc:creator>Information Technology</dc:creator>
  <cp:lastModifiedBy>willkay</cp:lastModifiedBy>
  <cp:revision>2</cp:revision>
  <cp:lastPrinted>2013-09-30T13:54:00Z</cp:lastPrinted>
  <dcterms:created xsi:type="dcterms:W3CDTF">2013-10-23T16:00:00Z</dcterms:created>
  <dcterms:modified xsi:type="dcterms:W3CDTF">2013-10-23T16:00:00Z</dcterms:modified>
</cp:coreProperties>
</file>