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02" w:rsidRPr="003C1E50" w:rsidRDefault="003C1E50">
      <w:pPr>
        <w:rPr>
          <w:b/>
          <w:sz w:val="20"/>
          <w:szCs w:val="20"/>
        </w:rPr>
      </w:pPr>
      <w:r w:rsidRPr="003C1E50">
        <w:rPr>
          <w:b/>
          <w:sz w:val="20"/>
          <w:szCs w:val="20"/>
        </w:rPr>
        <w:t>Fall, 2012 Course Evaluation Summary</w:t>
      </w:r>
    </w:p>
    <w:p w:rsidR="003C1E50" w:rsidRPr="003C1E50" w:rsidRDefault="003C1E50">
      <w:pPr>
        <w:rPr>
          <w:b/>
          <w:sz w:val="20"/>
          <w:szCs w:val="20"/>
        </w:rPr>
      </w:pPr>
      <w:r w:rsidRPr="003C1E50">
        <w:rPr>
          <w:b/>
          <w:sz w:val="20"/>
          <w:szCs w:val="20"/>
        </w:rPr>
        <w:t>EDU 316:  Required junior-level course</w:t>
      </w:r>
    </w:p>
    <w:p w:rsidR="00152BA8" w:rsidRDefault="003C1E50">
      <w:pPr>
        <w:rPr>
          <w:sz w:val="20"/>
          <w:szCs w:val="20"/>
        </w:rPr>
      </w:pPr>
      <w:r w:rsidRPr="003C1E50">
        <w:rPr>
          <w:sz w:val="20"/>
          <w:szCs w:val="20"/>
        </w:rPr>
        <w:t>Kay Williams, Associate Professor</w:t>
      </w:r>
    </w:p>
    <w:p w:rsidR="003C1E50" w:rsidRDefault="003C1E50">
      <w:pPr>
        <w:rPr>
          <w:sz w:val="20"/>
          <w:szCs w:val="20"/>
        </w:rPr>
      </w:pPr>
      <w:r>
        <w:rPr>
          <w:sz w:val="20"/>
          <w:szCs w:val="20"/>
          <w:u w:val="single"/>
        </w:rPr>
        <w:t>Preface</w:t>
      </w:r>
    </w:p>
    <w:p w:rsidR="00152BA8" w:rsidRDefault="003C1E50">
      <w:pPr>
        <w:rPr>
          <w:sz w:val="20"/>
          <w:szCs w:val="20"/>
        </w:rPr>
      </w:pPr>
      <w:r>
        <w:rPr>
          <w:sz w:val="20"/>
          <w:szCs w:val="20"/>
        </w:rPr>
        <w:t>Course sessions were observed by Jonathan Dee, Debbie Hanson, and Bill Bettler during the term as I prepared for an FEC review.  At the end of this term, Jonathan decided to leave Hanover College, which then had me on special assignment to continue Jonathan’s administrative work</w:t>
      </w:r>
      <w:r w:rsidR="000E04F1">
        <w:rPr>
          <w:sz w:val="20"/>
          <w:szCs w:val="20"/>
        </w:rPr>
        <w:t>.  The student comments</w:t>
      </w:r>
      <w:r>
        <w:rPr>
          <w:sz w:val="20"/>
          <w:szCs w:val="20"/>
        </w:rPr>
        <w:t xml:space="preserve"> for thi</w:t>
      </w:r>
      <w:r w:rsidR="00152BA8">
        <w:rPr>
          <w:sz w:val="20"/>
          <w:szCs w:val="20"/>
        </w:rPr>
        <w:t>s EDU 316 cohort were more negative</w:t>
      </w:r>
      <w:r>
        <w:rPr>
          <w:sz w:val="20"/>
          <w:szCs w:val="20"/>
        </w:rPr>
        <w:t xml:space="preserve"> than previous year</w:t>
      </w:r>
      <w:r w:rsidR="000E04F1">
        <w:rPr>
          <w:sz w:val="20"/>
          <w:szCs w:val="20"/>
        </w:rPr>
        <w:t xml:space="preserve">, but tallies are more positive.  </w:t>
      </w:r>
      <w:r>
        <w:rPr>
          <w:sz w:val="20"/>
          <w:szCs w:val="20"/>
        </w:rPr>
        <w:t xml:space="preserve">I had determined that this cohort of juniors were the best, most responsive group that I can remember ever having.  </w:t>
      </w:r>
      <w:r w:rsidR="000E04F1">
        <w:rPr>
          <w:sz w:val="20"/>
          <w:szCs w:val="20"/>
        </w:rPr>
        <w:t xml:space="preserve">Given some serious negative feedback, </w:t>
      </w:r>
      <w:r w:rsidR="00152BA8">
        <w:rPr>
          <w:sz w:val="20"/>
          <w:szCs w:val="20"/>
        </w:rPr>
        <w:t xml:space="preserve">I asked three department colleagues to interview candidates from this course.  Three </w:t>
      </w:r>
      <w:proofErr w:type="gramStart"/>
      <w:r w:rsidR="00152BA8">
        <w:rPr>
          <w:sz w:val="20"/>
          <w:szCs w:val="20"/>
        </w:rPr>
        <w:t>faculty</w:t>
      </w:r>
      <w:proofErr w:type="gramEnd"/>
      <w:r w:rsidR="00152BA8">
        <w:rPr>
          <w:sz w:val="20"/>
          <w:szCs w:val="20"/>
        </w:rPr>
        <w:t xml:space="preserve"> each interviewed a candidate for </w:t>
      </w:r>
      <w:r w:rsidR="000E04F1">
        <w:rPr>
          <w:sz w:val="20"/>
          <w:szCs w:val="20"/>
        </w:rPr>
        <w:t xml:space="preserve">more </w:t>
      </w:r>
      <w:r w:rsidR="00152BA8">
        <w:rPr>
          <w:sz w:val="20"/>
          <w:szCs w:val="20"/>
        </w:rPr>
        <w:t>feedback.</w:t>
      </w:r>
    </w:p>
    <w:p w:rsidR="003C1E50" w:rsidRPr="00C44DB5" w:rsidRDefault="003C1E50" w:rsidP="003C1E50">
      <w:pPr>
        <w:pStyle w:val="NoSpacing"/>
        <w:rPr>
          <w:sz w:val="20"/>
          <w:szCs w:val="20"/>
        </w:rPr>
      </w:pPr>
      <w:r w:rsidRPr="00C44DB5">
        <w:rPr>
          <w:sz w:val="20"/>
          <w:szCs w:val="20"/>
          <w:u w:val="single"/>
        </w:rPr>
        <w:t>Amount learned</w:t>
      </w:r>
      <w:r w:rsidRPr="00C44DB5">
        <w:rPr>
          <w:sz w:val="20"/>
          <w:szCs w:val="20"/>
        </w:rPr>
        <w:t>:</w:t>
      </w:r>
      <w:r w:rsidRPr="00C44DB5">
        <w:rPr>
          <w:sz w:val="20"/>
          <w:szCs w:val="20"/>
        </w:rPr>
        <w:tab/>
      </w:r>
      <w:r>
        <w:rPr>
          <w:sz w:val="20"/>
          <w:szCs w:val="20"/>
        </w:rPr>
        <w:tab/>
        <w:t>exceptional</w:t>
      </w:r>
      <w:r>
        <w:rPr>
          <w:sz w:val="20"/>
          <w:szCs w:val="20"/>
        </w:rPr>
        <w:tab/>
      </w:r>
      <w:r w:rsidR="00687C99">
        <w:rPr>
          <w:sz w:val="20"/>
          <w:szCs w:val="20"/>
        </w:rPr>
        <w:t>11</w:t>
      </w:r>
      <w:r w:rsidR="00152BA8">
        <w:rPr>
          <w:sz w:val="20"/>
          <w:szCs w:val="20"/>
        </w:rPr>
        <w:t>1</w:t>
      </w:r>
    </w:p>
    <w:p w:rsidR="003C1E50" w:rsidRPr="00C44DB5" w:rsidRDefault="003C1E50" w:rsidP="003C1E50">
      <w:pPr>
        <w:pStyle w:val="NoSpacing"/>
        <w:rPr>
          <w:sz w:val="20"/>
          <w:szCs w:val="20"/>
        </w:rPr>
      </w:pPr>
      <w:r>
        <w:rPr>
          <w:sz w:val="20"/>
          <w:szCs w:val="20"/>
        </w:rPr>
        <w:tab/>
      </w:r>
      <w:r>
        <w:rPr>
          <w:sz w:val="20"/>
          <w:szCs w:val="20"/>
        </w:rPr>
        <w:tab/>
      </w:r>
      <w:r>
        <w:rPr>
          <w:sz w:val="20"/>
          <w:szCs w:val="20"/>
        </w:rPr>
        <w:tab/>
      </w:r>
      <w:proofErr w:type="gramStart"/>
      <w:r>
        <w:rPr>
          <w:sz w:val="20"/>
          <w:szCs w:val="20"/>
        </w:rPr>
        <w:t>a</w:t>
      </w:r>
      <w:proofErr w:type="gramEnd"/>
      <w:r>
        <w:rPr>
          <w:sz w:val="20"/>
          <w:szCs w:val="20"/>
        </w:rPr>
        <w:t xml:space="preserve"> lot</w:t>
      </w:r>
      <w:r>
        <w:rPr>
          <w:sz w:val="20"/>
          <w:szCs w:val="20"/>
        </w:rPr>
        <w:tab/>
      </w:r>
      <w:r>
        <w:rPr>
          <w:sz w:val="20"/>
          <w:szCs w:val="20"/>
        </w:rPr>
        <w:tab/>
        <w:t>1</w:t>
      </w:r>
      <w:r w:rsidR="00687C99">
        <w:rPr>
          <w:sz w:val="20"/>
          <w:szCs w:val="20"/>
        </w:rPr>
        <w:t>11</w:t>
      </w:r>
      <w:r w:rsidR="00152BA8">
        <w:rPr>
          <w:sz w:val="20"/>
          <w:szCs w:val="20"/>
        </w:rPr>
        <w:t>1</w:t>
      </w:r>
    </w:p>
    <w:p w:rsidR="003C1E50" w:rsidRPr="00C44DB5" w:rsidRDefault="00152BA8" w:rsidP="003C1E50">
      <w:pPr>
        <w:pStyle w:val="NoSpacing"/>
        <w:rPr>
          <w:sz w:val="20"/>
          <w:szCs w:val="20"/>
        </w:rPr>
      </w:pPr>
      <w:r>
        <w:rPr>
          <w:sz w:val="20"/>
          <w:szCs w:val="20"/>
        </w:rPr>
        <w:t>n=11</w:t>
      </w:r>
      <w:r w:rsidR="003C1E50">
        <w:rPr>
          <w:sz w:val="20"/>
          <w:szCs w:val="20"/>
        </w:rPr>
        <w:tab/>
      </w:r>
      <w:r w:rsidR="003C1E50">
        <w:rPr>
          <w:sz w:val="20"/>
          <w:szCs w:val="20"/>
        </w:rPr>
        <w:tab/>
      </w:r>
      <w:r w:rsidR="003C1E50">
        <w:rPr>
          <w:sz w:val="20"/>
          <w:szCs w:val="20"/>
        </w:rPr>
        <w:tab/>
        <w:t>average</w:t>
      </w:r>
      <w:r w:rsidR="003C1E50">
        <w:rPr>
          <w:sz w:val="20"/>
          <w:szCs w:val="20"/>
        </w:rPr>
        <w:tab/>
      </w:r>
      <w:r w:rsidR="003C1E50">
        <w:rPr>
          <w:sz w:val="20"/>
          <w:szCs w:val="20"/>
        </w:rPr>
        <w:tab/>
      </w:r>
      <w:r>
        <w:rPr>
          <w:sz w:val="20"/>
          <w:szCs w:val="20"/>
        </w:rPr>
        <w:t>111</w:t>
      </w:r>
      <w:r w:rsidR="000E04F1">
        <w:rPr>
          <w:sz w:val="20"/>
          <w:szCs w:val="20"/>
        </w:rPr>
        <w:t>1</w:t>
      </w:r>
    </w:p>
    <w:p w:rsidR="003C1E50" w:rsidRPr="00C44DB5" w:rsidRDefault="003C1E50" w:rsidP="003C1E50">
      <w:pPr>
        <w:pStyle w:val="NoSpacing"/>
        <w:rPr>
          <w:sz w:val="20"/>
          <w:szCs w:val="20"/>
        </w:rPr>
      </w:pPr>
      <w:r>
        <w:rPr>
          <w:sz w:val="20"/>
          <w:szCs w:val="20"/>
        </w:rPr>
        <w:tab/>
      </w:r>
      <w:r>
        <w:rPr>
          <w:sz w:val="20"/>
          <w:szCs w:val="20"/>
        </w:rPr>
        <w:tab/>
      </w:r>
      <w:r>
        <w:rPr>
          <w:sz w:val="20"/>
          <w:szCs w:val="20"/>
        </w:rPr>
        <w:tab/>
      </w:r>
      <w:proofErr w:type="gramStart"/>
      <w:r>
        <w:rPr>
          <w:sz w:val="20"/>
          <w:szCs w:val="20"/>
        </w:rPr>
        <w:t>little</w:t>
      </w:r>
      <w:proofErr w:type="gramEnd"/>
      <w:r>
        <w:rPr>
          <w:sz w:val="20"/>
          <w:szCs w:val="20"/>
        </w:rPr>
        <w:tab/>
      </w:r>
      <w:r>
        <w:rPr>
          <w:sz w:val="20"/>
          <w:szCs w:val="20"/>
        </w:rPr>
        <w:tab/>
      </w:r>
    </w:p>
    <w:p w:rsidR="003C1E50" w:rsidRDefault="003C1E50" w:rsidP="003C1E50">
      <w:pPr>
        <w:pStyle w:val="NoSpacing"/>
        <w:rPr>
          <w:sz w:val="20"/>
          <w:szCs w:val="20"/>
        </w:rPr>
      </w:pPr>
      <w:r w:rsidRPr="00C44DB5">
        <w:rPr>
          <w:sz w:val="20"/>
          <w:szCs w:val="20"/>
        </w:rPr>
        <w:tab/>
      </w:r>
      <w:r w:rsidRPr="00C44DB5">
        <w:rPr>
          <w:sz w:val="20"/>
          <w:szCs w:val="20"/>
        </w:rPr>
        <w:tab/>
      </w:r>
      <w:r w:rsidRPr="00C44DB5">
        <w:rPr>
          <w:sz w:val="20"/>
          <w:szCs w:val="20"/>
        </w:rPr>
        <w:tab/>
      </w:r>
      <w:proofErr w:type="gramStart"/>
      <w:r w:rsidRPr="00C44DB5">
        <w:rPr>
          <w:sz w:val="20"/>
          <w:szCs w:val="20"/>
        </w:rPr>
        <w:t>nothing</w:t>
      </w:r>
      <w:proofErr w:type="gramEnd"/>
    </w:p>
    <w:p w:rsidR="003C1E50" w:rsidRDefault="003C1E50" w:rsidP="003C1E50">
      <w:pPr>
        <w:pStyle w:val="NoSpacing"/>
        <w:rPr>
          <w:sz w:val="20"/>
          <w:szCs w:val="20"/>
        </w:rPr>
      </w:pPr>
    </w:p>
    <w:p w:rsidR="003C1E50" w:rsidRPr="00C44DB5" w:rsidRDefault="003C1E50" w:rsidP="003C1E50">
      <w:pPr>
        <w:pStyle w:val="NoSpacing"/>
        <w:rPr>
          <w:sz w:val="20"/>
          <w:szCs w:val="20"/>
        </w:rPr>
      </w:pPr>
      <w:r>
        <w:rPr>
          <w:sz w:val="20"/>
          <w:szCs w:val="20"/>
          <w:u w:val="single"/>
        </w:rPr>
        <w:t>Interest</w:t>
      </w:r>
      <w:r>
        <w:rPr>
          <w:sz w:val="20"/>
          <w:szCs w:val="20"/>
        </w:rPr>
        <w:t>:</w:t>
      </w:r>
      <w:r>
        <w:rPr>
          <w:sz w:val="20"/>
          <w:szCs w:val="20"/>
        </w:rPr>
        <w:tab/>
        <w:t>decreased</w:t>
      </w:r>
      <w:r>
        <w:rPr>
          <w:sz w:val="20"/>
          <w:szCs w:val="20"/>
        </w:rPr>
        <w:tab/>
      </w:r>
      <w:r>
        <w:rPr>
          <w:sz w:val="20"/>
          <w:szCs w:val="20"/>
        </w:rPr>
        <w:tab/>
        <w:t>remains the same</w:t>
      </w:r>
      <w:r>
        <w:rPr>
          <w:sz w:val="20"/>
          <w:szCs w:val="20"/>
        </w:rPr>
        <w:tab/>
      </w:r>
      <w:r>
        <w:rPr>
          <w:sz w:val="20"/>
          <w:szCs w:val="20"/>
        </w:rPr>
        <w:tab/>
        <w:t>increased</w:t>
      </w:r>
    </w:p>
    <w:p w:rsidR="003C1E50" w:rsidRDefault="003C1E50" w:rsidP="003C1E50">
      <w:pPr>
        <w:pStyle w:val="NoSpacing"/>
        <w:rPr>
          <w:sz w:val="20"/>
          <w:szCs w:val="20"/>
        </w:rPr>
      </w:pPr>
      <w:r>
        <w:rPr>
          <w:sz w:val="20"/>
          <w:szCs w:val="20"/>
        </w:rPr>
        <w:tab/>
      </w:r>
      <w:r>
        <w:rPr>
          <w:sz w:val="20"/>
          <w:szCs w:val="20"/>
        </w:rPr>
        <w:tab/>
      </w:r>
      <w:r>
        <w:rPr>
          <w:sz w:val="20"/>
          <w:szCs w:val="20"/>
        </w:rPr>
        <w:tab/>
      </w:r>
      <w:r>
        <w:rPr>
          <w:sz w:val="20"/>
          <w:szCs w:val="20"/>
        </w:rPr>
        <w:tab/>
      </w:r>
      <w:r w:rsidR="00687C99">
        <w:rPr>
          <w:sz w:val="20"/>
          <w:szCs w:val="20"/>
        </w:rPr>
        <w:t>1</w:t>
      </w:r>
      <w:r w:rsidR="00152BA8">
        <w:rPr>
          <w:sz w:val="20"/>
          <w:szCs w:val="20"/>
        </w:rPr>
        <w:t>11111</w:t>
      </w:r>
      <w:r w:rsidR="000E04F1">
        <w:rPr>
          <w:sz w:val="20"/>
          <w:szCs w:val="20"/>
        </w:rPr>
        <w:t>1</w:t>
      </w:r>
      <w:r>
        <w:rPr>
          <w:sz w:val="20"/>
          <w:szCs w:val="20"/>
        </w:rPr>
        <w:tab/>
      </w:r>
      <w:r>
        <w:rPr>
          <w:sz w:val="20"/>
          <w:szCs w:val="20"/>
        </w:rPr>
        <w:tab/>
      </w:r>
      <w:r>
        <w:rPr>
          <w:sz w:val="20"/>
          <w:szCs w:val="20"/>
        </w:rPr>
        <w:tab/>
        <w:t>1</w:t>
      </w:r>
      <w:r w:rsidR="00687C99">
        <w:rPr>
          <w:sz w:val="20"/>
          <w:szCs w:val="20"/>
        </w:rPr>
        <w:t>111</w:t>
      </w:r>
    </w:p>
    <w:p w:rsidR="003C1E50" w:rsidRDefault="003C1E50" w:rsidP="003C1E50">
      <w:pPr>
        <w:pStyle w:val="NoSpacing"/>
        <w:rPr>
          <w:sz w:val="20"/>
          <w:szCs w:val="20"/>
        </w:rPr>
      </w:pPr>
    </w:p>
    <w:p w:rsidR="003C1E50" w:rsidRDefault="003C1E50" w:rsidP="003C1E50">
      <w:pPr>
        <w:pStyle w:val="NoSpacing"/>
        <w:rPr>
          <w:sz w:val="20"/>
          <w:szCs w:val="20"/>
        </w:rPr>
      </w:pPr>
      <w:r>
        <w:rPr>
          <w:sz w:val="20"/>
          <w:szCs w:val="20"/>
          <w:u w:val="single"/>
        </w:rPr>
        <w:t>Take a course from this professor again</w:t>
      </w:r>
      <w:r w:rsidR="00687C99">
        <w:rPr>
          <w:sz w:val="20"/>
          <w:szCs w:val="20"/>
        </w:rPr>
        <w:t>?</w:t>
      </w:r>
      <w:r w:rsidR="00687C99">
        <w:rPr>
          <w:sz w:val="20"/>
          <w:szCs w:val="20"/>
        </w:rPr>
        <w:tab/>
        <w:t>Yes</w:t>
      </w:r>
      <w:r w:rsidR="00687C99">
        <w:rPr>
          <w:sz w:val="20"/>
          <w:szCs w:val="20"/>
        </w:rPr>
        <w:tab/>
        <w:t>1111</w:t>
      </w:r>
      <w:r w:rsidR="00152BA8">
        <w:rPr>
          <w:sz w:val="20"/>
          <w:szCs w:val="20"/>
        </w:rPr>
        <w:t>1111</w:t>
      </w:r>
      <w:r w:rsidR="000E04F1">
        <w:rPr>
          <w:sz w:val="20"/>
          <w:szCs w:val="20"/>
        </w:rPr>
        <w:t>1</w:t>
      </w:r>
    </w:p>
    <w:p w:rsidR="003C1E50" w:rsidRDefault="003C1E50" w:rsidP="003C1E50">
      <w:pPr>
        <w:pStyle w:val="NoSpacing"/>
        <w:rPr>
          <w:sz w:val="20"/>
          <w:szCs w:val="20"/>
        </w:rPr>
      </w:pPr>
      <w:r>
        <w:rPr>
          <w:sz w:val="20"/>
          <w:szCs w:val="20"/>
        </w:rPr>
        <w:t>In education there sometimes is no choice.</w:t>
      </w:r>
      <w:r w:rsidR="00687C99">
        <w:rPr>
          <w:sz w:val="20"/>
          <w:szCs w:val="20"/>
        </w:rPr>
        <w:tab/>
        <w:t>No</w:t>
      </w:r>
      <w:r w:rsidR="00687C99">
        <w:rPr>
          <w:sz w:val="20"/>
          <w:szCs w:val="20"/>
        </w:rPr>
        <w:tab/>
        <w:t>1</w:t>
      </w:r>
    </w:p>
    <w:p w:rsidR="003C1E50" w:rsidRDefault="003C1E50" w:rsidP="003C1E50">
      <w:pPr>
        <w:pStyle w:val="NoSpacing"/>
        <w:rPr>
          <w:sz w:val="20"/>
          <w:szCs w:val="20"/>
        </w:rPr>
      </w:pPr>
    </w:p>
    <w:p w:rsidR="000E04F1" w:rsidRDefault="003C1E50" w:rsidP="003C1E50">
      <w:pPr>
        <w:pStyle w:val="NoSpacing"/>
        <w:rPr>
          <w:sz w:val="20"/>
          <w:szCs w:val="20"/>
        </w:rPr>
      </w:pPr>
      <w:r>
        <w:rPr>
          <w:sz w:val="20"/>
          <w:szCs w:val="20"/>
          <w:u w:val="single"/>
        </w:rPr>
        <w:t>Student Critique</w:t>
      </w:r>
      <w:r>
        <w:rPr>
          <w:sz w:val="20"/>
          <w:szCs w:val="20"/>
        </w:rPr>
        <w:t xml:space="preserve">  </w:t>
      </w:r>
    </w:p>
    <w:p w:rsidR="003C1E50" w:rsidRDefault="000E04F1" w:rsidP="003C1E50">
      <w:pPr>
        <w:pStyle w:val="NoSpacing"/>
        <w:rPr>
          <w:sz w:val="20"/>
          <w:szCs w:val="20"/>
        </w:rPr>
      </w:pPr>
      <w:r>
        <w:rPr>
          <w:sz w:val="20"/>
          <w:szCs w:val="20"/>
        </w:rPr>
        <w:t xml:space="preserve">Students wrote:  </w:t>
      </w:r>
      <w:r w:rsidR="00687C99">
        <w:rPr>
          <w:sz w:val="20"/>
          <w:szCs w:val="20"/>
        </w:rPr>
        <w:t xml:space="preserve">balancing fieldwork and rubric/assignment requirements; was difficult at times to know what was expected; would have preferred more structure; did not like syllabus set up-confusing as far as when things were due; multiple versions of a unit plan was confusing; the notes were really confusing—not explained well; harsh email about being absent; there was a student who arrived later over an hour--viewed this as favoritism; needs to be more organized; convey her ideas better; better clarity on assignments; could be more organized; </w:t>
      </w:r>
      <w:proofErr w:type="spellStart"/>
      <w:r w:rsidR="00152BA8">
        <w:rPr>
          <w:sz w:val="20"/>
          <w:szCs w:val="20"/>
        </w:rPr>
        <w:t>Marzano</w:t>
      </w:r>
      <w:proofErr w:type="spellEnd"/>
      <w:r w:rsidR="00152BA8">
        <w:rPr>
          <w:sz w:val="20"/>
          <w:szCs w:val="20"/>
        </w:rPr>
        <w:t xml:space="preserve"> book assignments seemed repetitive; an absence or two from her class needs to be excused; scattered a lot; I never knew what to bring to class; little opportunity to take factual notes; one big opinion driven discussion; originally confusing; really complex and difficult to understand; I disliked how the notes were graded because some weeks there were less things for me to write about; confused about an assignment or what was expected of me; more explicit of expectations in the beginning would be more helpful; </w:t>
      </w:r>
      <w:r>
        <w:rPr>
          <w:sz w:val="20"/>
          <w:szCs w:val="20"/>
        </w:rPr>
        <w:t xml:space="preserve">course was unorganized.  </w:t>
      </w:r>
    </w:p>
    <w:p w:rsidR="00687C99" w:rsidRDefault="00687C99" w:rsidP="003C1E50">
      <w:pPr>
        <w:pStyle w:val="NoSpacing"/>
        <w:rPr>
          <w:sz w:val="20"/>
          <w:szCs w:val="20"/>
        </w:rPr>
      </w:pPr>
    </w:p>
    <w:p w:rsidR="00687C99" w:rsidRDefault="00687C99" w:rsidP="003C1E50">
      <w:pPr>
        <w:pStyle w:val="NoSpacing"/>
        <w:rPr>
          <w:sz w:val="20"/>
          <w:szCs w:val="20"/>
        </w:rPr>
      </w:pPr>
      <w:r>
        <w:rPr>
          <w:sz w:val="20"/>
          <w:szCs w:val="20"/>
        </w:rPr>
        <w:t>Most course activities were marked as effective.  The pre/post assessment assignment seemed most ineffective</w:t>
      </w:r>
      <w:r w:rsidR="000E04F1">
        <w:rPr>
          <w:sz w:val="20"/>
          <w:szCs w:val="20"/>
        </w:rPr>
        <w:t xml:space="preserve">.  </w:t>
      </w:r>
      <w:proofErr w:type="gramStart"/>
      <w:r w:rsidR="000E04F1">
        <w:rPr>
          <w:sz w:val="20"/>
          <w:szCs w:val="20"/>
        </w:rPr>
        <w:t xml:space="preserve">General concern about </w:t>
      </w:r>
      <w:proofErr w:type="spellStart"/>
      <w:r w:rsidR="000E04F1">
        <w:rPr>
          <w:sz w:val="20"/>
          <w:szCs w:val="20"/>
        </w:rPr>
        <w:t>Marzano</w:t>
      </w:r>
      <w:proofErr w:type="spellEnd"/>
      <w:r w:rsidR="000E04F1">
        <w:rPr>
          <w:sz w:val="20"/>
          <w:szCs w:val="20"/>
        </w:rPr>
        <w:t xml:space="preserve"> strategies.</w:t>
      </w:r>
      <w:proofErr w:type="gramEnd"/>
    </w:p>
    <w:p w:rsidR="00687C99" w:rsidRDefault="00687C99" w:rsidP="003C1E50">
      <w:pPr>
        <w:pStyle w:val="NoSpacing"/>
        <w:rPr>
          <w:sz w:val="20"/>
          <w:szCs w:val="20"/>
        </w:rPr>
      </w:pPr>
    </w:p>
    <w:p w:rsidR="003C1E50" w:rsidRDefault="003C1E50" w:rsidP="003C1E50">
      <w:pPr>
        <w:pStyle w:val="NoSpacing"/>
        <w:rPr>
          <w:sz w:val="20"/>
          <w:szCs w:val="20"/>
        </w:rPr>
      </w:pPr>
      <w:r>
        <w:rPr>
          <w:sz w:val="20"/>
          <w:szCs w:val="20"/>
          <w:u w:val="single"/>
        </w:rPr>
        <w:t>Instructor Response</w:t>
      </w:r>
    </w:p>
    <w:p w:rsidR="000E04F1" w:rsidRDefault="000E04F1" w:rsidP="003C1E50">
      <w:pPr>
        <w:pStyle w:val="NoSpacing"/>
        <w:rPr>
          <w:sz w:val="20"/>
          <w:szCs w:val="20"/>
        </w:rPr>
      </w:pPr>
      <w:r>
        <w:rPr>
          <w:sz w:val="20"/>
          <w:szCs w:val="20"/>
        </w:rPr>
        <w:t xml:space="preserve">As with every EDU 316, there were attendance issues.  Two candidates had course conflicts with other required courses in their majors.  Therefore, one candidate cam to class one hour late and a second candidate left class an hour early (This course is split into two 2-hour sessions each week.)  Both candidates made up the missing hour in a third </w:t>
      </w:r>
      <w:r>
        <w:rPr>
          <w:sz w:val="20"/>
          <w:szCs w:val="20"/>
        </w:rPr>
        <w:lastRenderedPageBreak/>
        <w:t xml:space="preserve">session during the week.  I will never agree to this arrangement again because of confusion it caused.  I will offer a second session of EDU 316 for those who have schedule conflicts.  I did not see it as any </w:t>
      </w:r>
      <w:proofErr w:type="spellStart"/>
      <w:r>
        <w:rPr>
          <w:sz w:val="20"/>
          <w:szCs w:val="20"/>
        </w:rPr>
        <w:t>coursemate’s</w:t>
      </w:r>
      <w:proofErr w:type="spellEnd"/>
      <w:r>
        <w:rPr>
          <w:sz w:val="20"/>
          <w:szCs w:val="20"/>
        </w:rPr>
        <w:t xml:space="preserve"> business that they should know why these two candidates arrived late or left early.  I would imagine that these two candidates would have shared their dilemma with anyone who asked.  </w:t>
      </w:r>
      <w:proofErr w:type="gramStart"/>
      <w:r w:rsidR="003B28F0">
        <w:rPr>
          <w:sz w:val="20"/>
          <w:szCs w:val="20"/>
        </w:rPr>
        <w:t>Absences for any one 2-hour session is</w:t>
      </w:r>
      <w:proofErr w:type="gramEnd"/>
      <w:r w:rsidR="003B28F0">
        <w:rPr>
          <w:sz w:val="20"/>
          <w:szCs w:val="20"/>
        </w:rPr>
        <w:t xml:space="preserve"> almost impossible to “make up.”  I usually do not say anything about an absence; however, the person in question did not give me advanced or after-class notice about the absence.  </w:t>
      </w:r>
      <w:r w:rsidR="00A86977">
        <w:rPr>
          <w:sz w:val="20"/>
          <w:szCs w:val="20"/>
        </w:rPr>
        <w:t xml:space="preserve">I save evidence of my actual email; it was standard and certainly not punitive in nature.  </w:t>
      </w:r>
      <w:r w:rsidR="003B28F0">
        <w:rPr>
          <w:sz w:val="20"/>
          <w:szCs w:val="20"/>
        </w:rPr>
        <w:t xml:space="preserve">And, there were no absences thereafter.  Unexcused absences in community schools by teachers are not tolerated.  This course is all about professional conduct.  Factual </w:t>
      </w:r>
      <w:proofErr w:type="spellStart"/>
      <w:r w:rsidR="003B28F0">
        <w:rPr>
          <w:sz w:val="20"/>
          <w:szCs w:val="20"/>
        </w:rPr>
        <w:t>notetaking</w:t>
      </w:r>
      <w:proofErr w:type="spellEnd"/>
      <w:r w:rsidR="003B28F0">
        <w:rPr>
          <w:sz w:val="20"/>
          <w:szCs w:val="20"/>
        </w:rPr>
        <w:t xml:space="preserve"> was graded each week, based on reading or field experience.  Student notes are a great way to catch misconceptions and confusions.  I highlighted portions of their notes each week to share in large group.  All notes were analytic or synthesis, rather than copying down recipes for teaching.  Yes, this course is complex and teaching is complex!  </w:t>
      </w:r>
    </w:p>
    <w:p w:rsidR="003B28F0" w:rsidRDefault="003B28F0" w:rsidP="003C1E50">
      <w:pPr>
        <w:pStyle w:val="NoSpacing"/>
        <w:rPr>
          <w:sz w:val="20"/>
          <w:szCs w:val="20"/>
        </w:rPr>
      </w:pPr>
    </w:p>
    <w:p w:rsidR="003B28F0" w:rsidRDefault="003B28F0" w:rsidP="003C1E50">
      <w:pPr>
        <w:pStyle w:val="NoSpacing"/>
        <w:rPr>
          <w:sz w:val="20"/>
          <w:szCs w:val="20"/>
        </w:rPr>
      </w:pPr>
    </w:p>
    <w:p w:rsidR="000E04F1" w:rsidRDefault="000E04F1" w:rsidP="003C1E50">
      <w:pPr>
        <w:pStyle w:val="NoSpacing"/>
        <w:rPr>
          <w:sz w:val="20"/>
          <w:szCs w:val="20"/>
        </w:rPr>
      </w:pPr>
    </w:p>
    <w:p w:rsidR="003C1E50" w:rsidRDefault="003B28F0">
      <w:pPr>
        <w:rPr>
          <w:sz w:val="20"/>
          <w:szCs w:val="20"/>
        </w:rPr>
      </w:pPr>
      <w:r>
        <w:rPr>
          <w:sz w:val="20"/>
          <w:szCs w:val="20"/>
        </w:rPr>
        <w:t xml:space="preserve">Confusion about due dates for assignments results from half of the assignments being contingent upon the work candidates can do in the community school classroom.  Therefore, the due dates on my syllabus are tentative, and we talk about this at the beginning of the class.  I do not want to penalize candidates when there are snow days, fire drills, a substitute teacher, or testing days in the classrooms where my candidates had </w:t>
      </w:r>
      <w:r w:rsidR="004109BB">
        <w:rPr>
          <w:sz w:val="20"/>
          <w:szCs w:val="20"/>
        </w:rPr>
        <w:t xml:space="preserve">other plans.  </w:t>
      </w:r>
    </w:p>
    <w:p w:rsidR="004109BB" w:rsidRDefault="004109BB">
      <w:pPr>
        <w:rPr>
          <w:sz w:val="20"/>
          <w:szCs w:val="20"/>
        </w:rPr>
      </w:pPr>
      <w:r>
        <w:rPr>
          <w:sz w:val="20"/>
          <w:szCs w:val="20"/>
        </w:rPr>
        <w:t xml:space="preserve">It was explained in one-to-one interviews that have all assignment rubrics in the syllabus made the course overwhelming at the onset.  Sorting through seven or eight assignments and rubrics was confusing.  I think candidates do need more structure and control over material per session than what I provided.  I placed their comprehensive syllabus in a small three-ring binder.  For each reading or handout that I provided thereafter, I asked that that be placed in the binder.  Weekly notes were electronic or handwritten and all in one record (spiral, electronic form).  Each set of notes had to be dated.  </w:t>
      </w:r>
    </w:p>
    <w:p w:rsidR="00B81EDA" w:rsidRDefault="004109BB">
      <w:pPr>
        <w:rPr>
          <w:sz w:val="20"/>
          <w:szCs w:val="20"/>
        </w:rPr>
      </w:pPr>
      <w:r>
        <w:rPr>
          <w:sz w:val="20"/>
          <w:szCs w:val="20"/>
        </w:rPr>
        <w:t xml:space="preserve">The concepts that I teach are NOT based on a traditional way of organizing for teaching.  </w:t>
      </w:r>
      <w:r w:rsidR="00BC2333">
        <w:rPr>
          <w:sz w:val="20"/>
          <w:szCs w:val="20"/>
        </w:rPr>
        <w:t xml:space="preserve">Teaching experts, </w:t>
      </w:r>
      <w:r>
        <w:rPr>
          <w:sz w:val="20"/>
          <w:szCs w:val="20"/>
        </w:rPr>
        <w:t xml:space="preserve">Wiggins and </w:t>
      </w:r>
      <w:proofErr w:type="spellStart"/>
      <w:r>
        <w:rPr>
          <w:sz w:val="20"/>
          <w:szCs w:val="20"/>
        </w:rPr>
        <w:t>McTighe</w:t>
      </w:r>
      <w:proofErr w:type="spellEnd"/>
      <w:r w:rsidR="00BC2333">
        <w:rPr>
          <w:sz w:val="20"/>
          <w:szCs w:val="20"/>
        </w:rPr>
        <w:t xml:space="preserve">, </w:t>
      </w:r>
      <w:r>
        <w:rPr>
          <w:sz w:val="20"/>
          <w:szCs w:val="20"/>
        </w:rPr>
        <w:t>assume that all content and learning</w:t>
      </w:r>
      <w:r w:rsidR="00BC2333">
        <w:rPr>
          <w:sz w:val="20"/>
          <w:szCs w:val="20"/>
        </w:rPr>
        <w:t xml:space="preserve"> tasks should be</w:t>
      </w:r>
      <w:r>
        <w:rPr>
          <w:sz w:val="20"/>
          <w:szCs w:val="20"/>
        </w:rPr>
        <w:t xml:space="preserve"> worthy, can be connected to a larger, more universal idea, and support understanding beyond rote memory and recitation.  Therefore, I teach EDU 316 with the same assumption.  I allow my candidates to critique tasks and reading for what makes sense to them and</w:t>
      </w:r>
      <w:r w:rsidR="00BC2333">
        <w:rPr>
          <w:sz w:val="20"/>
          <w:szCs w:val="20"/>
        </w:rPr>
        <w:t xml:space="preserve"> what does not.  The</w:t>
      </w:r>
      <w:r>
        <w:rPr>
          <w:sz w:val="20"/>
          <w:szCs w:val="20"/>
        </w:rPr>
        <w:t xml:space="preserve"> big ideas and </w:t>
      </w:r>
      <w:r w:rsidR="00BC2333">
        <w:rPr>
          <w:sz w:val="20"/>
          <w:szCs w:val="20"/>
        </w:rPr>
        <w:t xml:space="preserve">tasks we try to apply in a real classroom situation.  One candidate noted that I needed to lecture more; I think I need to slow down and demonstrate and lecture more often.  Colleagues who observed said that I was very organized; I think candidates did not like having so much material and field experience to think about all at once. </w:t>
      </w:r>
      <w:r w:rsidR="001328C6">
        <w:rPr>
          <w:sz w:val="20"/>
          <w:szCs w:val="20"/>
        </w:rPr>
        <w:t xml:space="preserve"> Teaching requires organization that I am not sure my candidates understand.  During my class, candidates sometimes need table space to spread their work out alongside supporting material.  </w:t>
      </w:r>
      <w:r w:rsidR="00BC2333">
        <w:rPr>
          <w:sz w:val="20"/>
          <w:szCs w:val="20"/>
        </w:rPr>
        <w:t xml:space="preserve"> I personally find teaching very difficult to do in the way of compartments, chapters, discrete sets.  I also think that I need more concrete examples for concepts or processes.  For example, I begin the course with a story about a seeming expert archer.  We can see that she is expert because her arrows are in the bulls-eye every time.  From a passerby’s point of view, she understands and has mastered archery.  However, upon asking her to show us her technique, she calmly shoots her arrow, takes a piece of chalk, and draws a circle around the </w:t>
      </w:r>
      <w:r w:rsidR="001328C6">
        <w:rPr>
          <w:sz w:val="20"/>
          <w:szCs w:val="20"/>
        </w:rPr>
        <w:t xml:space="preserve">point where arrow hits the fence.  Asking her to perform was the best means to see what she really understands.  I refer to this story and an illustration of the fence as we work through figuring out Wiggins and </w:t>
      </w:r>
      <w:proofErr w:type="spellStart"/>
      <w:r w:rsidR="001328C6">
        <w:rPr>
          <w:sz w:val="20"/>
          <w:szCs w:val="20"/>
        </w:rPr>
        <w:t>McTighe’s</w:t>
      </w:r>
      <w:proofErr w:type="spellEnd"/>
      <w:r w:rsidR="001328C6">
        <w:rPr>
          <w:sz w:val="20"/>
          <w:szCs w:val="20"/>
        </w:rPr>
        <w:t xml:space="preserve"> backward design for planning lessons.  </w:t>
      </w:r>
    </w:p>
    <w:p w:rsidR="004109BB" w:rsidRDefault="001328C6">
      <w:pPr>
        <w:rPr>
          <w:sz w:val="20"/>
          <w:szCs w:val="20"/>
        </w:rPr>
      </w:pPr>
      <w:r>
        <w:rPr>
          <w:sz w:val="20"/>
          <w:szCs w:val="20"/>
        </w:rPr>
        <w:t xml:space="preserve">The eleven candidates in EDU 316 were assigned to four different schools in the </w:t>
      </w:r>
      <w:proofErr w:type="gramStart"/>
      <w:r>
        <w:rPr>
          <w:sz w:val="20"/>
          <w:szCs w:val="20"/>
        </w:rPr>
        <w:t>Fall</w:t>
      </w:r>
      <w:proofErr w:type="gramEnd"/>
      <w:r>
        <w:rPr>
          <w:sz w:val="20"/>
          <w:szCs w:val="20"/>
        </w:rPr>
        <w:t xml:space="preserve"> term.  They were preparing to teach mathematics, health and physical education, art, English language arts, biology, and Spanish.  Therefore, not all material that they worked with looked the same.  Not all classrooms they practice taught in looked or operated in the same way.  Not all assignments were going to look the same.  Preparing to teach art is somewhat different from preparing to teach Spanish.  One candidate found this differentiation to be weird, stressful.</w:t>
      </w:r>
      <w:r w:rsidR="00B81EDA">
        <w:rPr>
          <w:sz w:val="20"/>
          <w:szCs w:val="20"/>
        </w:rPr>
        <w:t xml:space="preserve">  However, all eleven candidates experienced each others’ perspectives about art, language arts, Spanish acquisition, physical education, and more.  For example, our mathematician did not understand why he was asked to read and take notes so much—you presumably don’t have to read in mathematics?  His English peers were </w:t>
      </w:r>
      <w:r w:rsidR="00B81EDA">
        <w:rPr>
          <w:sz w:val="20"/>
          <w:szCs w:val="20"/>
        </w:rPr>
        <w:lastRenderedPageBreak/>
        <w:t>pleased to see him eventually turn that attitude around.  Each of eleven participants also set two personal goals for the term related to teaching.  Their goals are attached.  Obviously, not all goals are the same.</w:t>
      </w:r>
    </w:p>
    <w:p w:rsidR="00A86977" w:rsidRPr="003C1E50" w:rsidRDefault="00A86977">
      <w:pPr>
        <w:rPr>
          <w:sz w:val="20"/>
          <w:szCs w:val="20"/>
        </w:rPr>
      </w:pPr>
      <w:r>
        <w:rPr>
          <w:sz w:val="20"/>
          <w:szCs w:val="20"/>
        </w:rPr>
        <w:t xml:space="preserve">Below is a curriculum and assessment map for this course that I recently developed as part of the </w:t>
      </w:r>
      <w:proofErr w:type="gramStart"/>
      <w:r>
        <w:rPr>
          <w:sz w:val="20"/>
          <w:szCs w:val="20"/>
        </w:rPr>
        <w:t>Fall</w:t>
      </w:r>
      <w:proofErr w:type="gramEnd"/>
      <w:r>
        <w:rPr>
          <w:sz w:val="20"/>
          <w:szCs w:val="20"/>
        </w:rPr>
        <w:t xml:space="preserve"> 2013 course.</w:t>
      </w:r>
    </w:p>
    <w:p w:rsidR="00A86977" w:rsidRDefault="00A86977" w:rsidP="00A86977">
      <w:pPr>
        <w:pStyle w:val="NoSpacing"/>
        <w:jc w:val="center"/>
        <w:rPr>
          <w:b/>
          <w:sz w:val="28"/>
          <w:szCs w:val="28"/>
        </w:rPr>
      </w:pPr>
      <w:r>
        <w:rPr>
          <w:b/>
          <w:sz w:val="28"/>
          <w:szCs w:val="28"/>
        </w:rPr>
        <w:t>EDU 316 Curriculum Map</w:t>
      </w:r>
    </w:p>
    <w:p w:rsidR="00A86977" w:rsidRDefault="00A86977" w:rsidP="00A86977">
      <w:pPr>
        <w:pStyle w:val="NoSpacing"/>
        <w:jc w:val="center"/>
        <w:rPr>
          <w:b/>
          <w:sz w:val="28"/>
          <w:szCs w:val="28"/>
        </w:rPr>
      </w:pPr>
    </w:p>
    <w:tbl>
      <w:tblPr>
        <w:tblStyle w:val="TableGrid"/>
        <w:tblW w:w="0" w:type="auto"/>
        <w:tblLook w:val="04A0"/>
      </w:tblPr>
      <w:tblGrid>
        <w:gridCol w:w="2635"/>
        <w:gridCol w:w="2635"/>
        <w:gridCol w:w="2635"/>
        <w:gridCol w:w="2635"/>
        <w:gridCol w:w="2636"/>
      </w:tblGrid>
      <w:tr w:rsidR="00A86977" w:rsidRPr="00E51566" w:rsidTr="008B31B9">
        <w:tc>
          <w:tcPr>
            <w:tcW w:w="2635" w:type="dxa"/>
          </w:tcPr>
          <w:p w:rsidR="00A86977" w:rsidRPr="00E51566" w:rsidRDefault="00A86977" w:rsidP="008B31B9">
            <w:pPr>
              <w:pStyle w:val="NoSpacing"/>
              <w:rPr>
                <w:b/>
                <w:sz w:val="20"/>
                <w:szCs w:val="20"/>
              </w:rPr>
            </w:pPr>
            <w:r>
              <w:rPr>
                <w:b/>
                <w:sz w:val="20"/>
                <w:szCs w:val="20"/>
              </w:rPr>
              <w:t>Overview</w:t>
            </w:r>
          </w:p>
        </w:tc>
        <w:tc>
          <w:tcPr>
            <w:tcW w:w="2635" w:type="dxa"/>
          </w:tcPr>
          <w:p w:rsidR="00A86977" w:rsidRDefault="00A86977" w:rsidP="008B31B9">
            <w:pPr>
              <w:pStyle w:val="NoSpacing"/>
              <w:rPr>
                <w:b/>
                <w:sz w:val="20"/>
                <w:szCs w:val="20"/>
              </w:rPr>
            </w:pPr>
            <w:r>
              <w:rPr>
                <w:b/>
                <w:sz w:val="20"/>
                <w:szCs w:val="20"/>
              </w:rPr>
              <w:t>Understanding by Design</w:t>
            </w:r>
          </w:p>
          <w:p w:rsidR="00A86977" w:rsidRPr="00E51566" w:rsidRDefault="00A86977" w:rsidP="008B31B9">
            <w:pPr>
              <w:pStyle w:val="NoSpacing"/>
              <w:rPr>
                <w:b/>
                <w:sz w:val="20"/>
                <w:szCs w:val="20"/>
              </w:rPr>
            </w:pPr>
            <w:r>
              <w:rPr>
                <w:b/>
                <w:sz w:val="20"/>
                <w:szCs w:val="20"/>
              </w:rPr>
              <w:t xml:space="preserve">Wiggins &amp; </w:t>
            </w:r>
            <w:proofErr w:type="spellStart"/>
            <w:r>
              <w:rPr>
                <w:b/>
                <w:sz w:val="20"/>
                <w:szCs w:val="20"/>
              </w:rPr>
              <w:t>McTighe</w:t>
            </w:r>
            <w:proofErr w:type="spellEnd"/>
          </w:p>
        </w:tc>
        <w:tc>
          <w:tcPr>
            <w:tcW w:w="2635" w:type="dxa"/>
          </w:tcPr>
          <w:p w:rsidR="00A86977" w:rsidRDefault="00A86977" w:rsidP="008B31B9">
            <w:pPr>
              <w:pStyle w:val="NoSpacing"/>
              <w:rPr>
                <w:b/>
                <w:sz w:val="20"/>
                <w:szCs w:val="20"/>
              </w:rPr>
            </w:pPr>
            <w:r>
              <w:rPr>
                <w:b/>
                <w:sz w:val="20"/>
                <w:szCs w:val="20"/>
              </w:rPr>
              <w:t>Tools for Teaching</w:t>
            </w:r>
          </w:p>
          <w:p w:rsidR="00A86977" w:rsidRPr="00E51566" w:rsidRDefault="00A86977" w:rsidP="008B31B9">
            <w:pPr>
              <w:pStyle w:val="NoSpacing"/>
              <w:rPr>
                <w:b/>
                <w:sz w:val="20"/>
                <w:szCs w:val="20"/>
              </w:rPr>
            </w:pPr>
            <w:r>
              <w:rPr>
                <w:b/>
                <w:sz w:val="20"/>
                <w:szCs w:val="20"/>
              </w:rPr>
              <w:t>Jones</w:t>
            </w:r>
          </w:p>
        </w:tc>
        <w:tc>
          <w:tcPr>
            <w:tcW w:w="2635" w:type="dxa"/>
          </w:tcPr>
          <w:p w:rsidR="00A86977" w:rsidRPr="00E51566" w:rsidRDefault="00A86977" w:rsidP="008B31B9">
            <w:pPr>
              <w:pStyle w:val="NoSpacing"/>
              <w:rPr>
                <w:b/>
                <w:sz w:val="20"/>
                <w:szCs w:val="20"/>
              </w:rPr>
            </w:pPr>
            <w:r>
              <w:rPr>
                <w:b/>
                <w:sz w:val="20"/>
                <w:szCs w:val="20"/>
              </w:rPr>
              <w:t xml:space="preserve">The Art &amp; Science of Teaching </w:t>
            </w:r>
            <w:proofErr w:type="spellStart"/>
            <w:r>
              <w:rPr>
                <w:b/>
                <w:sz w:val="20"/>
                <w:szCs w:val="20"/>
              </w:rPr>
              <w:t>Marzano</w:t>
            </w:r>
            <w:proofErr w:type="spellEnd"/>
          </w:p>
        </w:tc>
        <w:tc>
          <w:tcPr>
            <w:tcW w:w="2636" w:type="dxa"/>
          </w:tcPr>
          <w:p w:rsidR="00A86977" w:rsidRPr="00E51566" w:rsidRDefault="00A86977" w:rsidP="008B31B9">
            <w:pPr>
              <w:pStyle w:val="NoSpacing"/>
              <w:rPr>
                <w:b/>
                <w:sz w:val="20"/>
                <w:szCs w:val="20"/>
              </w:rPr>
            </w:pPr>
            <w:r>
              <w:rPr>
                <w:b/>
                <w:sz w:val="20"/>
                <w:szCs w:val="20"/>
              </w:rPr>
              <w:t>Field Experience:  Real Life Professional Development</w:t>
            </w:r>
          </w:p>
        </w:tc>
      </w:tr>
      <w:tr w:rsidR="00A86977" w:rsidTr="008B31B9">
        <w:tc>
          <w:tcPr>
            <w:tcW w:w="2635" w:type="dxa"/>
          </w:tcPr>
          <w:p w:rsidR="00A86977" w:rsidRDefault="00A86977" w:rsidP="008B31B9">
            <w:pPr>
              <w:pStyle w:val="NoSpacing"/>
              <w:rPr>
                <w:sz w:val="20"/>
                <w:szCs w:val="20"/>
              </w:rPr>
            </w:pPr>
            <w:r>
              <w:rPr>
                <w:sz w:val="20"/>
                <w:szCs w:val="20"/>
              </w:rPr>
              <w:t>HC Decision Points</w:t>
            </w:r>
          </w:p>
        </w:tc>
        <w:tc>
          <w:tcPr>
            <w:tcW w:w="2635" w:type="dxa"/>
          </w:tcPr>
          <w:p w:rsidR="00A86977" w:rsidRDefault="00A86977" w:rsidP="008B31B9">
            <w:pPr>
              <w:pStyle w:val="NoSpacing"/>
              <w:rPr>
                <w:sz w:val="20"/>
                <w:szCs w:val="20"/>
              </w:rPr>
            </w:pPr>
            <w:r>
              <w:rPr>
                <w:sz w:val="20"/>
                <w:szCs w:val="20"/>
              </w:rPr>
              <w:t>Planning lessons &amp; units</w:t>
            </w:r>
          </w:p>
        </w:tc>
        <w:tc>
          <w:tcPr>
            <w:tcW w:w="2635" w:type="dxa"/>
          </w:tcPr>
          <w:p w:rsidR="00A86977" w:rsidRDefault="00A86977" w:rsidP="008B31B9">
            <w:pPr>
              <w:pStyle w:val="NoSpacing"/>
              <w:rPr>
                <w:sz w:val="20"/>
                <w:szCs w:val="20"/>
              </w:rPr>
            </w:pPr>
            <w:r>
              <w:rPr>
                <w:sz w:val="20"/>
                <w:szCs w:val="20"/>
              </w:rPr>
              <w:t>Classroom management system</w:t>
            </w:r>
          </w:p>
        </w:tc>
        <w:tc>
          <w:tcPr>
            <w:tcW w:w="2635" w:type="dxa"/>
          </w:tcPr>
          <w:p w:rsidR="00A86977" w:rsidRDefault="00A86977" w:rsidP="008B31B9">
            <w:pPr>
              <w:pStyle w:val="NoSpacing"/>
              <w:rPr>
                <w:sz w:val="20"/>
                <w:szCs w:val="20"/>
              </w:rPr>
            </w:pPr>
            <w:r>
              <w:rPr>
                <w:sz w:val="20"/>
                <w:szCs w:val="20"/>
              </w:rPr>
              <w:t>Researched teaching strategies; integrate technologies</w:t>
            </w:r>
          </w:p>
        </w:tc>
        <w:tc>
          <w:tcPr>
            <w:tcW w:w="2636" w:type="dxa"/>
          </w:tcPr>
          <w:p w:rsidR="00A86977" w:rsidRDefault="00A86977" w:rsidP="008B31B9">
            <w:pPr>
              <w:pStyle w:val="NoSpacing"/>
              <w:rPr>
                <w:sz w:val="20"/>
                <w:szCs w:val="20"/>
              </w:rPr>
            </w:pPr>
            <w:r>
              <w:rPr>
                <w:sz w:val="20"/>
                <w:szCs w:val="20"/>
              </w:rPr>
              <w:t>Agreement about professional behavior</w:t>
            </w:r>
          </w:p>
        </w:tc>
      </w:tr>
      <w:tr w:rsidR="00A86977" w:rsidTr="008B31B9">
        <w:tc>
          <w:tcPr>
            <w:tcW w:w="2635" w:type="dxa"/>
          </w:tcPr>
          <w:p w:rsidR="00A86977" w:rsidRDefault="00A86977" w:rsidP="008B31B9">
            <w:pPr>
              <w:pStyle w:val="NoSpacing"/>
              <w:rPr>
                <w:sz w:val="20"/>
                <w:szCs w:val="20"/>
              </w:rPr>
            </w:pPr>
            <w:r>
              <w:rPr>
                <w:sz w:val="20"/>
                <w:szCs w:val="20"/>
              </w:rPr>
              <w:t>HC Portfolio Documents</w:t>
            </w:r>
          </w:p>
        </w:tc>
        <w:tc>
          <w:tcPr>
            <w:tcW w:w="2635" w:type="dxa"/>
          </w:tcPr>
          <w:p w:rsidR="00A86977" w:rsidRDefault="00A86977" w:rsidP="008B31B9">
            <w:pPr>
              <w:pStyle w:val="NoSpacing"/>
              <w:rPr>
                <w:sz w:val="20"/>
                <w:szCs w:val="20"/>
              </w:rPr>
            </w:pPr>
            <w:r>
              <w:rPr>
                <w:sz w:val="20"/>
                <w:szCs w:val="20"/>
              </w:rPr>
              <w:t>Six principles of design</w:t>
            </w:r>
          </w:p>
        </w:tc>
        <w:tc>
          <w:tcPr>
            <w:tcW w:w="2635" w:type="dxa"/>
          </w:tcPr>
          <w:p w:rsidR="00A86977" w:rsidRDefault="00A86977" w:rsidP="008B31B9">
            <w:pPr>
              <w:pStyle w:val="NoSpacing"/>
              <w:rPr>
                <w:sz w:val="20"/>
                <w:szCs w:val="20"/>
              </w:rPr>
            </w:pPr>
            <w:r>
              <w:rPr>
                <w:sz w:val="20"/>
                <w:szCs w:val="20"/>
              </w:rPr>
              <w:t>Creating independent learners</w:t>
            </w:r>
          </w:p>
        </w:tc>
        <w:tc>
          <w:tcPr>
            <w:tcW w:w="2635" w:type="dxa"/>
          </w:tcPr>
          <w:p w:rsidR="00A86977" w:rsidRDefault="00A86977" w:rsidP="008B31B9">
            <w:pPr>
              <w:pStyle w:val="NoSpacing"/>
              <w:rPr>
                <w:sz w:val="20"/>
                <w:szCs w:val="20"/>
              </w:rPr>
            </w:pPr>
            <w:r>
              <w:rPr>
                <w:sz w:val="20"/>
                <w:szCs w:val="20"/>
              </w:rPr>
              <w:t>Choosing action steps</w:t>
            </w:r>
          </w:p>
        </w:tc>
        <w:tc>
          <w:tcPr>
            <w:tcW w:w="2636" w:type="dxa"/>
          </w:tcPr>
          <w:p w:rsidR="00A86977" w:rsidRDefault="00A86977" w:rsidP="008B31B9">
            <w:pPr>
              <w:pStyle w:val="NoSpacing"/>
              <w:rPr>
                <w:sz w:val="20"/>
                <w:szCs w:val="20"/>
              </w:rPr>
            </w:pPr>
            <w:r>
              <w:rPr>
                <w:sz w:val="20"/>
                <w:szCs w:val="20"/>
              </w:rPr>
              <w:t>Records check</w:t>
            </w:r>
          </w:p>
        </w:tc>
      </w:tr>
      <w:tr w:rsidR="00A86977" w:rsidTr="008B31B9">
        <w:tc>
          <w:tcPr>
            <w:tcW w:w="2635" w:type="dxa"/>
          </w:tcPr>
          <w:p w:rsidR="00A86977" w:rsidRDefault="00A86977" w:rsidP="008B31B9">
            <w:pPr>
              <w:pStyle w:val="NoSpacing"/>
              <w:rPr>
                <w:sz w:val="20"/>
                <w:szCs w:val="20"/>
              </w:rPr>
            </w:pPr>
            <w:r>
              <w:rPr>
                <w:sz w:val="20"/>
                <w:szCs w:val="20"/>
              </w:rPr>
              <w:t>Circular Model</w:t>
            </w:r>
          </w:p>
        </w:tc>
        <w:tc>
          <w:tcPr>
            <w:tcW w:w="2635" w:type="dxa"/>
          </w:tcPr>
          <w:p w:rsidR="00A86977" w:rsidRDefault="00A86977" w:rsidP="008B31B9">
            <w:pPr>
              <w:pStyle w:val="NoSpacing"/>
              <w:rPr>
                <w:sz w:val="20"/>
                <w:szCs w:val="20"/>
              </w:rPr>
            </w:pPr>
            <w:r>
              <w:rPr>
                <w:sz w:val="20"/>
                <w:szCs w:val="20"/>
              </w:rPr>
              <w:t>Three stages of design</w:t>
            </w:r>
          </w:p>
        </w:tc>
        <w:tc>
          <w:tcPr>
            <w:tcW w:w="2635" w:type="dxa"/>
          </w:tcPr>
          <w:p w:rsidR="00A86977" w:rsidRDefault="00A86977" w:rsidP="008B31B9">
            <w:pPr>
              <w:pStyle w:val="NoSpacing"/>
              <w:rPr>
                <w:sz w:val="20"/>
                <w:szCs w:val="20"/>
              </w:rPr>
            </w:pPr>
            <w:r>
              <w:rPr>
                <w:sz w:val="20"/>
                <w:szCs w:val="20"/>
              </w:rPr>
              <w:t>Classroom structure</w:t>
            </w:r>
          </w:p>
        </w:tc>
        <w:tc>
          <w:tcPr>
            <w:tcW w:w="2635" w:type="dxa"/>
          </w:tcPr>
          <w:p w:rsidR="00A86977" w:rsidRDefault="00A86977" w:rsidP="008B31B9">
            <w:pPr>
              <w:pStyle w:val="NoSpacing"/>
              <w:rPr>
                <w:sz w:val="20"/>
                <w:szCs w:val="20"/>
              </w:rPr>
            </w:pPr>
            <w:r>
              <w:rPr>
                <w:sz w:val="20"/>
                <w:szCs w:val="20"/>
              </w:rPr>
              <w:t>Pre &amp; post assessment; track student progress</w:t>
            </w:r>
          </w:p>
        </w:tc>
        <w:tc>
          <w:tcPr>
            <w:tcW w:w="2636" w:type="dxa"/>
          </w:tcPr>
          <w:p w:rsidR="00A86977" w:rsidRDefault="00A86977" w:rsidP="008B31B9">
            <w:pPr>
              <w:pStyle w:val="NoSpacing"/>
              <w:rPr>
                <w:sz w:val="20"/>
                <w:szCs w:val="20"/>
              </w:rPr>
            </w:pPr>
            <w:r>
              <w:rPr>
                <w:sz w:val="20"/>
                <w:szCs w:val="20"/>
              </w:rPr>
              <w:t>30 hours of professional development</w:t>
            </w:r>
          </w:p>
        </w:tc>
      </w:tr>
      <w:tr w:rsidR="00A86977" w:rsidTr="008B31B9">
        <w:tc>
          <w:tcPr>
            <w:tcW w:w="2635" w:type="dxa"/>
          </w:tcPr>
          <w:p w:rsidR="00A86977" w:rsidRDefault="00A86977" w:rsidP="008B31B9">
            <w:pPr>
              <w:pStyle w:val="NoSpacing"/>
              <w:rPr>
                <w:sz w:val="20"/>
                <w:szCs w:val="20"/>
              </w:rPr>
            </w:pPr>
            <w:r>
              <w:rPr>
                <w:sz w:val="20"/>
                <w:szCs w:val="20"/>
              </w:rPr>
              <w:t>Accreditation and Conceptual Framework</w:t>
            </w:r>
          </w:p>
        </w:tc>
        <w:tc>
          <w:tcPr>
            <w:tcW w:w="2635" w:type="dxa"/>
          </w:tcPr>
          <w:p w:rsidR="00A86977" w:rsidRDefault="00A86977" w:rsidP="008B31B9">
            <w:pPr>
              <w:pStyle w:val="NoSpacing"/>
              <w:rPr>
                <w:sz w:val="20"/>
                <w:szCs w:val="20"/>
              </w:rPr>
            </w:pPr>
            <w:r>
              <w:rPr>
                <w:sz w:val="20"/>
                <w:szCs w:val="20"/>
              </w:rPr>
              <w:t>Student standards/objectives; Common Core</w:t>
            </w:r>
          </w:p>
        </w:tc>
        <w:tc>
          <w:tcPr>
            <w:tcW w:w="2635" w:type="dxa"/>
          </w:tcPr>
          <w:p w:rsidR="00A86977" w:rsidRDefault="00A86977" w:rsidP="008B31B9">
            <w:pPr>
              <w:pStyle w:val="NoSpacing"/>
              <w:rPr>
                <w:sz w:val="20"/>
                <w:szCs w:val="20"/>
              </w:rPr>
            </w:pPr>
            <w:r>
              <w:rPr>
                <w:sz w:val="20"/>
                <w:szCs w:val="20"/>
              </w:rPr>
              <w:t>Producing responsible behavior and setting limits</w:t>
            </w:r>
          </w:p>
        </w:tc>
        <w:tc>
          <w:tcPr>
            <w:tcW w:w="2635" w:type="dxa"/>
          </w:tcPr>
          <w:p w:rsidR="00A86977" w:rsidRDefault="00A86977" w:rsidP="008B31B9">
            <w:pPr>
              <w:pStyle w:val="NoSpacing"/>
              <w:rPr>
                <w:sz w:val="20"/>
                <w:szCs w:val="20"/>
              </w:rPr>
            </w:pPr>
            <w:r>
              <w:rPr>
                <w:sz w:val="20"/>
                <w:szCs w:val="20"/>
              </w:rPr>
              <w:t>Annotated seating chart</w:t>
            </w:r>
          </w:p>
        </w:tc>
        <w:tc>
          <w:tcPr>
            <w:tcW w:w="2636" w:type="dxa"/>
          </w:tcPr>
          <w:p w:rsidR="00A86977" w:rsidRDefault="00A86977" w:rsidP="008B31B9">
            <w:pPr>
              <w:pStyle w:val="NoSpacing"/>
              <w:rPr>
                <w:sz w:val="20"/>
                <w:szCs w:val="20"/>
              </w:rPr>
            </w:pPr>
            <w:r>
              <w:rPr>
                <w:sz w:val="20"/>
                <w:szCs w:val="20"/>
              </w:rPr>
              <w:t>Practice teaching feedback</w:t>
            </w:r>
          </w:p>
        </w:tc>
      </w:tr>
      <w:tr w:rsidR="00A86977" w:rsidTr="008B31B9">
        <w:tc>
          <w:tcPr>
            <w:tcW w:w="2635" w:type="dxa"/>
          </w:tcPr>
          <w:p w:rsidR="00A86977" w:rsidRDefault="00A86977" w:rsidP="008B31B9">
            <w:pPr>
              <w:pStyle w:val="NoSpacing"/>
              <w:rPr>
                <w:sz w:val="20"/>
                <w:szCs w:val="20"/>
              </w:rPr>
            </w:pPr>
            <w:r>
              <w:rPr>
                <w:sz w:val="20"/>
                <w:szCs w:val="20"/>
              </w:rPr>
              <w:t>Professor Search</w:t>
            </w:r>
          </w:p>
        </w:tc>
        <w:tc>
          <w:tcPr>
            <w:tcW w:w="2635" w:type="dxa"/>
          </w:tcPr>
          <w:p w:rsidR="00A86977" w:rsidRDefault="00A86977" w:rsidP="008B31B9">
            <w:pPr>
              <w:pStyle w:val="NoSpacing"/>
              <w:rPr>
                <w:sz w:val="20"/>
                <w:szCs w:val="20"/>
              </w:rPr>
            </w:pPr>
            <w:r>
              <w:rPr>
                <w:sz w:val="20"/>
                <w:szCs w:val="20"/>
              </w:rPr>
              <w:t>Assessment Plan and data literacy</w:t>
            </w:r>
          </w:p>
        </w:tc>
        <w:tc>
          <w:tcPr>
            <w:tcW w:w="2635" w:type="dxa"/>
          </w:tcPr>
          <w:p w:rsidR="00A86977" w:rsidRDefault="00A86977" w:rsidP="008B31B9">
            <w:pPr>
              <w:pStyle w:val="NoSpacing"/>
              <w:rPr>
                <w:sz w:val="20"/>
                <w:szCs w:val="20"/>
              </w:rPr>
            </w:pPr>
            <w:r>
              <w:rPr>
                <w:sz w:val="20"/>
                <w:szCs w:val="20"/>
              </w:rPr>
              <w:t>Teacher’s time management</w:t>
            </w:r>
          </w:p>
        </w:tc>
        <w:tc>
          <w:tcPr>
            <w:tcW w:w="2635" w:type="dxa"/>
          </w:tcPr>
          <w:p w:rsidR="00A86977" w:rsidRDefault="00A86977" w:rsidP="008B31B9">
            <w:pPr>
              <w:pStyle w:val="NoSpacing"/>
              <w:rPr>
                <w:sz w:val="20"/>
                <w:szCs w:val="20"/>
              </w:rPr>
            </w:pPr>
            <w:r>
              <w:rPr>
                <w:sz w:val="20"/>
                <w:szCs w:val="20"/>
              </w:rPr>
              <w:t>Engaging students</w:t>
            </w:r>
          </w:p>
        </w:tc>
        <w:tc>
          <w:tcPr>
            <w:tcW w:w="2636" w:type="dxa"/>
          </w:tcPr>
          <w:p w:rsidR="00A86977" w:rsidRDefault="00A86977" w:rsidP="008B31B9">
            <w:pPr>
              <w:pStyle w:val="NoSpacing"/>
              <w:rPr>
                <w:sz w:val="20"/>
                <w:szCs w:val="20"/>
              </w:rPr>
            </w:pPr>
            <w:r>
              <w:rPr>
                <w:sz w:val="20"/>
                <w:szCs w:val="20"/>
              </w:rPr>
              <w:t>Disposition feedback</w:t>
            </w:r>
          </w:p>
        </w:tc>
      </w:tr>
      <w:tr w:rsidR="00A86977" w:rsidTr="008B31B9">
        <w:tc>
          <w:tcPr>
            <w:tcW w:w="2635" w:type="dxa"/>
          </w:tcPr>
          <w:p w:rsidR="00A86977" w:rsidRDefault="00A86977" w:rsidP="008B31B9">
            <w:pPr>
              <w:pStyle w:val="NoSpacing"/>
              <w:rPr>
                <w:sz w:val="20"/>
                <w:szCs w:val="20"/>
              </w:rPr>
            </w:pPr>
            <w:r>
              <w:rPr>
                <w:sz w:val="20"/>
                <w:szCs w:val="20"/>
              </w:rPr>
              <w:t>Integrating technologies and Promethean Board</w:t>
            </w: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r>
              <w:rPr>
                <w:sz w:val="20"/>
                <w:szCs w:val="20"/>
              </w:rPr>
              <w:t>Procedures and rules toward classroom management</w:t>
            </w:r>
          </w:p>
        </w:tc>
        <w:tc>
          <w:tcPr>
            <w:tcW w:w="2636" w:type="dxa"/>
          </w:tcPr>
          <w:p w:rsidR="00A86977" w:rsidRDefault="00A86977" w:rsidP="008B31B9">
            <w:pPr>
              <w:pStyle w:val="NoSpacing"/>
              <w:rPr>
                <w:sz w:val="20"/>
                <w:szCs w:val="20"/>
              </w:rPr>
            </w:pPr>
            <w:r>
              <w:rPr>
                <w:sz w:val="20"/>
                <w:szCs w:val="20"/>
              </w:rPr>
              <w:t>Connecting theory to practice and self-evaluation</w:t>
            </w:r>
          </w:p>
        </w:tc>
      </w:tr>
      <w:tr w:rsidR="00A86977" w:rsidTr="008B31B9">
        <w:tc>
          <w:tcPr>
            <w:tcW w:w="2635" w:type="dxa"/>
          </w:tcPr>
          <w:p w:rsidR="00A86977" w:rsidRDefault="00A86977" w:rsidP="008B31B9">
            <w:pPr>
              <w:pStyle w:val="NoSpacing"/>
              <w:rPr>
                <w:sz w:val="20"/>
                <w:szCs w:val="20"/>
              </w:rPr>
            </w:pPr>
            <w:r>
              <w:rPr>
                <w:sz w:val="20"/>
                <w:szCs w:val="20"/>
              </w:rPr>
              <w:t>Response to Intervention:  Communication of high expectations for all students</w:t>
            </w:r>
          </w:p>
        </w:tc>
        <w:tc>
          <w:tcPr>
            <w:tcW w:w="2635" w:type="dxa"/>
          </w:tcPr>
          <w:p w:rsidR="00A86977" w:rsidRDefault="00A86977" w:rsidP="008B31B9">
            <w:pPr>
              <w:pStyle w:val="NoSpacing"/>
              <w:rPr>
                <w:sz w:val="20"/>
                <w:szCs w:val="20"/>
              </w:rPr>
            </w:pPr>
            <w:r>
              <w:rPr>
                <w:sz w:val="20"/>
                <w:szCs w:val="20"/>
              </w:rPr>
              <w:t>Transfer of learning and understanding via facets of understanding</w:t>
            </w: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r>
              <w:rPr>
                <w:sz w:val="20"/>
                <w:szCs w:val="20"/>
              </w:rPr>
              <w:t>Communication of high expectations; celebrate success!</w:t>
            </w:r>
          </w:p>
        </w:tc>
        <w:tc>
          <w:tcPr>
            <w:tcW w:w="2636" w:type="dxa"/>
          </w:tcPr>
          <w:p w:rsidR="00A86977" w:rsidRDefault="00A86977" w:rsidP="008B31B9">
            <w:pPr>
              <w:pStyle w:val="NoSpacing"/>
              <w:rPr>
                <w:sz w:val="20"/>
                <w:szCs w:val="20"/>
              </w:rPr>
            </w:pPr>
            <w:r>
              <w:rPr>
                <w:sz w:val="20"/>
                <w:szCs w:val="20"/>
              </w:rPr>
              <w:t>Setting goals for students and yourself</w:t>
            </w:r>
          </w:p>
        </w:tc>
      </w:tr>
      <w:tr w:rsidR="00A86977" w:rsidTr="008B31B9">
        <w:tc>
          <w:tcPr>
            <w:tcW w:w="2635" w:type="dxa"/>
          </w:tcPr>
          <w:p w:rsidR="00A86977" w:rsidRDefault="00A86977" w:rsidP="008B31B9">
            <w:pPr>
              <w:pStyle w:val="NoSpacing"/>
              <w:rPr>
                <w:sz w:val="20"/>
                <w:szCs w:val="20"/>
              </w:rPr>
            </w:pPr>
            <w:r>
              <w:rPr>
                <w:sz w:val="20"/>
                <w:szCs w:val="20"/>
              </w:rPr>
              <w:t>Differentiated Instruction, candidate choices</w:t>
            </w: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p>
        </w:tc>
        <w:tc>
          <w:tcPr>
            <w:tcW w:w="2636" w:type="dxa"/>
          </w:tcPr>
          <w:p w:rsidR="00A86977" w:rsidRDefault="00A86977" w:rsidP="008B31B9">
            <w:pPr>
              <w:pStyle w:val="NoSpacing"/>
              <w:rPr>
                <w:sz w:val="20"/>
                <w:szCs w:val="20"/>
              </w:rPr>
            </w:pPr>
          </w:p>
        </w:tc>
      </w:tr>
      <w:tr w:rsidR="00A86977" w:rsidTr="008B31B9">
        <w:tc>
          <w:tcPr>
            <w:tcW w:w="2635" w:type="dxa"/>
          </w:tcPr>
          <w:p w:rsidR="00A86977" w:rsidRDefault="00A86977" w:rsidP="008B31B9">
            <w:pPr>
              <w:pStyle w:val="NoSpacing"/>
              <w:rPr>
                <w:sz w:val="20"/>
                <w:szCs w:val="20"/>
              </w:rPr>
            </w:pPr>
            <w:r>
              <w:rPr>
                <w:sz w:val="20"/>
                <w:szCs w:val="20"/>
              </w:rPr>
              <w:t>National teacher standards</w:t>
            </w:r>
          </w:p>
        </w:tc>
        <w:tc>
          <w:tcPr>
            <w:tcW w:w="2635" w:type="dxa"/>
          </w:tcPr>
          <w:p w:rsidR="00A86977" w:rsidRDefault="00A86977" w:rsidP="008B31B9">
            <w:pPr>
              <w:pStyle w:val="NoSpacing"/>
              <w:rPr>
                <w:sz w:val="20"/>
                <w:szCs w:val="20"/>
              </w:rPr>
            </w:pPr>
            <w:r>
              <w:rPr>
                <w:sz w:val="20"/>
                <w:szCs w:val="20"/>
              </w:rPr>
              <w:t>Teacher competency</w:t>
            </w: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p>
        </w:tc>
        <w:tc>
          <w:tcPr>
            <w:tcW w:w="2636" w:type="dxa"/>
          </w:tcPr>
          <w:p w:rsidR="00A86977" w:rsidRDefault="00A86977" w:rsidP="008B31B9">
            <w:pPr>
              <w:pStyle w:val="NoSpacing"/>
              <w:rPr>
                <w:sz w:val="20"/>
                <w:szCs w:val="20"/>
              </w:rPr>
            </w:pPr>
          </w:p>
        </w:tc>
      </w:tr>
      <w:tr w:rsidR="00A86977" w:rsidTr="008B31B9">
        <w:tc>
          <w:tcPr>
            <w:tcW w:w="2635" w:type="dxa"/>
          </w:tcPr>
          <w:p w:rsidR="00A86977" w:rsidRDefault="00A86977" w:rsidP="008B31B9">
            <w:pPr>
              <w:pStyle w:val="NoSpacing"/>
              <w:rPr>
                <w:sz w:val="20"/>
                <w:szCs w:val="20"/>
              </w:rPr>
            </w:pPr>
            <w:r>
              <w:rPr>
                <w:sz w:val="20"/>
                <w:szCs w:val="20"/>
              </w:rPr>
              <w:t>Professional dispositions</w:t>
            </w: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p>
        </w:tc>
        <w:tc>
          <w:tcPr>
            <w:tcW w:w="2635" w:type="dxa"/>
          </w:tcPr>
          <w:p w:rsidR="00A86977" w:rsidRDefault="00A86977" w:rsidP="008B31B9">
            <w:pPr>
              <w:pStyle w:val="NoSpacing"/>
              <w:rPr>
                <w:sz w:val="20"/>
                <w:szCs w:val="20"/>
              </w:rPr>
            </w:pPr>
          </w:p>
        </w:tc>
        <w:tc>
          <w:tcPr>
            <w:tcW w:w="2636" w:type="dxa"/>
          </w:tcPr>
          <w:p w:rsidR="00A86977" w:rsidRDefault="00A86977" w:rsidP="008B31B9">
            <w:pPr>
              <w:pStyle w:val="NoSpacing"/>
              <w:rPr>
                <w:sz w:val="20"/>
                <w:szCs w:val="20"/>
              </w:rPr>
            </w:pPr>
            <w:r>
              <w:rPr>
                <w:sz w:val="20"/>
                <w:szCs w:val="20"/>
              </w:rPr>
              <w:t>!!!</w:t>
            </w:r>
          </w:p>
        </w:tc>
      </w:tr>
    </w:tbl>
    <w:p w:rsidR="00A86977" w:rsidRDefault="00A86977" w:rsidP="00A86977">
      <w:pPr>
        <w:pStyle w:val="NoSpacing"/>
        <w:rPr>
          <w:b/>
          <w:sz w:val="28"/>
          <w:szCs w:val="28"/>
        </w:rPr>
      </w:pPr>
    </w:p>
    <w:p w:rsidR="00A86977" w:rsidRDefault="00A86977" w:rsidP="00A86977">
      <w:pPr>
        <w:pStyle w:val="NoSpacing"/>
        <w:jc w:val="center"/>
        <w:rPr>
          <w:b/>
          <w:sz w:val="28"/>
          <w:szCs w:val="28"/>
        </w:rPr>
      </w:pPr>
      <w:r>
        <w:rPr>
          <w:b/>
          <w:sz w:val="28"/>
          <w:szCs w:val="28"/>
        </w:rPr>
        <w:t>Candidate Assessment Plan</w:t>
      </w:r>
    </w:p>
    <w:tbl>
      <w:tblPr>
        <w:tblStyle w:val="TableGrid"/>
        <w:tblW w:w="0" w:type="auto"/>
        <w:tblLook w:val="04A0"/>
      </w:tblPr>
      <w:tblGrid>
        <w:gridCol w:w="3294"/>
        <w:gridCol w:w="7614"/>
        <w:gridCol w:w="990"/>
        <w:gridCol w:w="1278"/>
      </w:tblGrid>
      <w:tr w:rsidR="00A86977" w:rsidRPr="00C876F9" w:rsidTr="008B31B9">
        <w:tc>
          <w:tcPr>
            <w:tcW w:w="3294" w:type="dxa"/>
          </w:tcPr>
          <w:p w:rsidR="00A86977" w:rsidRPr="00C876F9" w:rsidRDefault="00A86977" w:rsidP="008B31B9">
            <w:pPr>
              <w:pStyle w:val="NoSpacing"/>
              <w:rPr>
                <w:b/>
                <w:sz w:val="20"/>
                <w:szCs w:val="20"/>
              </w:rPr>
            </w:pPr>
            <w:r>
              <w:rPr>
                <w:b/>
                <w:sz w:val="20"/>
                <w:szCs w:val="20"/>
              </w:rPr>
              <w:t>Assessment</w:t>
            </w:r>
          </w:p>
        </w:tc>
        <w:tc>
          <w:tcPr>
            <w:tcW w:w="7614" w:type="dxa"/>
          </w:tcPr>
          <w:p w:rsidR="00A86977" w:rsidRPr="00C876F9" w:rsidRDefault="00A86977" w:rsidP="008B31B9">
            <w:pPr>
              <w:pStyle w:val="NoSpacing"/>
              <w:rPr>
                <w:b/>
                <w:sz w:val="20"/>
                <w:szCs w:val="20"/>
              </w:rPr>
            </w:pPr>
            <w:r>
              <w:rPr>
                <w:b/>
                <w:sz w:val="20"/>
                <w:szCs w:val="20"/>
              </w:rPr>
              <w:t>Standards/Curriculum                                                                   Portfolio Documentation</w:t>
            </w:r>
          </w:p>
        </w:tc>
        <w:tc>
          <w:tcPr>
            <w:tcW w:w="990" w:type="dxa"/>
          </w:tcPr>
          <w:p w:rsidR="00A86977" w:rsidRPr="00C876F9" w:rsidRDefault="00A86977" w:rsidP="008B31B9">
            <w:pPr>
              <w:pStyle w:val="NoSpacing"/>
              <w:rPr>
                <w:b/>
                <w:sz w:val="20"/>
                <w:szCs w:val="20"/>
              </w:rPr>
            </w:pPr>
            <w:r>
              <w:rPr>
                <w:b/>
                <w:sz w:val="20"/>
                <w:szCs w:val="20"/>
              </w:rPr>
              <w:t>Weight</w:t>
            </w:r>
          </w:p>
        </w:tc>
        <w:tc>
          <w:tcPr>
            <w:tcW w:w="1278" w:type="dxa"/>
          </w:tcPr>
          <w:p w:rsidR="00A86977" w:rsidRPr="00C876F9" w:rsidRDefault="00A86977" w:rsidP="008B31B9">
            <w:pPr>
              <w:pStyle w:val="NoSpacing"/>
              <w:rPr>
                <w:b/>
                <w:sz w:val="20"/>
                <w:szCs w:val="20"/>
              </w:rPr>
            </w:pPr>
            <w:r>
              <w:rPr>
                <w:b/>
                <w:sz w:val="20"/>
                <w:szCs w:val="20"/>
              </w:rPr>
              <w:t>Due Date</w:t>
            </w:r>
          </w:p>
        </w:tc>
      </w:tr>
      <w:tr w:rsidR="00A86977" w:rsidTr="008B31B9">
        <w:trPr>
          <w:trHeight w:val="77"/>
        </w:trPr>
        <w:tc>
          <w:tcPr>
            <w:tcW w:w="3294" w:type="dxa"/>
          </w:tcPr>
          <w:p w:rsidR="00A86977" w:rsidRDefault="00A86977" w:rsidP="008B31B9">
            <w:pPr>
              <w:pStyle w:val="NoSpacing"/>
              <w:rPr>
                <w:sz w:val="20"/>
                <w:szCs w:val="20"/>
              </w:rPr>
            </w:pPr>
            <w:r>
              <w:rPr>
                <w:sz w:val="20"/>
                <w:szCs w:val="20"/>
              </w:rPr>
              <w:t>Annotated seating chart</w:t>
            </w:r>
          </w:p>
        </w:tc>
        <w:tc>
          <w:tcPr>
            <w:tcW w:w="7614" w:type="dxa"/>
          </w:tcPr>
          <w:p w:rsidR="00A86977" w:rsidRDefault="00A86977" w:rsidP="008B31B9">
            <w:pPr>
              <w:pStyle w:val="NoSpacing"/>
              <w:rPr>
                <w:sz w:val="20"/>
                <w:szCs w:val="20"/>
              </w:rPr>
            </w:pPr>
            <w:proofErr w:type="spellStart"/>
            <w:r>
              <w:rPr>
                <w:sz w:val="20"/>
                <w:szCs w:val="20"/>
              </w:rPr>
              <w:t>Marzano</w:t>
            </w:r>
            <w:proofErr w:type="spellEnd"/>
            <w:r>
              <w:rPr>
                <w:sz w:val="20"/>
                <w:szCs w:val="20"/>
              </w:rPr>
              <w:t>, RTI, field experience                                                        INTASC #2</w:t>
            </w:r>
          </w:p>
        </w:tc>
        <w:tc>
          <w:tcPr>
            <w:tcW w:w="990" w:type="dxa"/>
          </w:tcPr>
          <w:p w:rsidR="00A86977" w:rsidRDefault="00A86977" w:rsidP="008B31B9">
            <w:pPr>
              <w:pStyle w:val="NoSpacing"/>
              <w:rPr>
                <w:sz w:val="20"/>
                <w:szCs w:val="20"/>
              </w:rPr>
            </w:pPr>
            <w:r>
              <w:rPr>
                <w:sz w:val="20"/>
                <w:szCs w:val="20"/>
              </w:rPr>
              <w:t>x2</w:t>
            </w:r>
          </w:p>
        </w:tc>
        <w:tc>
          <w:tcPr>
            <w:tcW w:w="1278" w:type="dxa"/>
          </w:tcPr>
          <w:p w:rsidR="00A86977" w:rsidRDefault="00A86977" w:rsidP="008B31B9">
            <w:pPr>
              <w:pStyle w:val="NoSpacing"/>
              <w:rPr>
                <w:sz w:val="20"/>
                <w:szCs w:val="20"/>
              </w:rPr>
            </w:pPr>
          </w:p>
        </w:tc>
      </w:tr>
      <w:tr w:rsidR="00A86977" w:rsidTr="008B31B9">
        <w:tc>
          <w:tcPr>
            <w:tcW w:w="3294" w:type="dxa"/>
          </w:tcPr>
          <w:p w:rsidR="00A86977" w:rsidRDefault="00A86977" w:rsidP="008B31B9">
            <w:pPr>
              <w:pStyle w:val="NoSpacing"/>
              <w:rPr>
                <w:sz w:val="20"/>
                <w:szCs w:val="20"/>
              </w:rPr>
            </w:pPr>
            <w:r>
              <w:rPr>
                <w:sz w:val="20"/>
                <w:szCs w:val="20"/>
              </w:rPr>
              <w:t>One formal lesson plan, analysis, and response to feedback</w:t>
            </w:r>
          </w:p>
        </w:tc>
        <w:tc>
          <w:tcPr>
            <w:tcW w:w="7614" w:type="dxa"/>
          </w:tcPr>
          <w:p w:rsidR="00A86977" w:rsidRDefault="00A86977" w:rsidP="008B31B9">
            <w:pPr>
              <w:pStyle w:val="NoSpacing"/>
              <w:rPr>
                <w:sz w:val="20"/>
                <w:szCs w:val="20"/>
              </w:rPr>
            </w:pPr>
            <w:r>
              <w:rPr>
                <w:sz w:val="20"/>
                <w:szCs w:val="20"/>
              </w:rPr>
              <w:t xml:space="preserve">Wiggins &amp; </w:t>
            </w:r>
            <w:proofErr w:type="spellStart"/>
            <w:r>
              <w:rPr>
                <w:sz w:val="20"/>
                <w:szCs w:val="20"/>
              </w:rPr>
              <w:t>McTighe</w:t>
            </w:r>
            <w:proofErr w:type="spellEnd"/>
            <w:r>
              <w:rPr>
                <w:sz w:val="20"/>
                <w:szCs w:val="20"/>
              </w:rPr>
              <w:t xml:space="preserve">, Jones, </w:t>
            </w:r>
            <w:proofErr w:type="spellStart"/>
            <w:r>
              <w:rPr>
                <w:sz w:val="20"/>
                <w:szCs w:val="20"/>
              </w:rPr>
              <w:t>Marzano</w:t>
            </w:r>
            <w:proofErr w:type="spellEnd"/>
            <w:r>
              <w:rPr>
                <w:sz w:val="20"/>
                <w:szCs w:val="20"/>
              </w:rPr>
              <w:t>, field experience                   INTASC #7 or  #9</w:t>
            </w:r>
          </w:p>
        </w:tc>
        <w:tc>
          <w:tcPr>
            <w:tcW w:w="990" w:type="dxa"/>
          </w:tcPr>
          <w:p w:rsidR="00A86977" w:rsidRDefault="00A86977" w:rsidP="008B31B9">
            <w:pPr>
              <w:pStyle w:val="NoSpacing"/>
              <w:rPr>
                <w:sz w:val="20"/>
                <w:szCs w:val="20"/>
              </w:rPr>
            </w:pPr>
            <w:r>
              <w:rPr>
                <w:sz w:val="20"/>
                <w:szCs w:val="20"/>
              </w:rPr>
              <w:t>x3</w:t>
            </w:r>
          </w:p>
        </w:tc>
        <w:tc>
          <w:tcPr>
            <w:tcW w:w="1278" w:type="dxa"/>
          </w:tcPr>
          <w:p w:rsidR="00A86977" w:rsidRDefault="00A86977" w:rsidP="008B31B9">
            <w:pPr>
              <w:pStyle w:val="NoSpacing"/>
              <w:rPr>
                <w:sz w:val="20"/>
                <w:szCs w:val="20"/>
              </w:rPr>
            </w:pPr>
          </w:p>
        </w:tc>
      </w:tr>
      <w:tr w:rsidR="00A86977" w:rsidTr="008B31B9">
        <w:tc>
          <w:tcPr>
            <w:tcW w:w="3294" w:type="dxa"/>
          </w:tcPr>
          <w:p w:rsidR="00A86977" w:rsidRDefault="00A86977" w:rsidP="008B31B9">
            <w:pPr>
              <w:pStyle w:val="NoSpacing"/>
              <w:rPr>
                <w:sz w:val="20"/>
                <w:szCs w:val="20"/>
              </w:rPr>
            </w:pPr>
            <w:r>
              <w:rPr>
                <w:sz w:val="20"/>
                <w:szCs w:val="20"/>
              </w:rPr>
              <w:t>One unit plan</w:t>
            </w:r>
          </w:p>
        </w:tc>
        <w:tc>
          <w:tcPr>
            <w:tcW w:w="7614" w:type="dxa"/>
          </w:tcPr>
          <w:p w:rsidR="00A86977" w:rsidRDefault="00A86977" w:rsidP="008B31B9">
            <w:pPr>
              <w:pStyle w:val="NoSpacing"/>
              <w:rPr>
                <w:sz w:val="20"/>
                <w:szCs w:val="20"/>
              </w:rPr>
            </w:pPr>
            <w:r>
              <w:rPr>
                <w:sz w:val="20"/>
                <w:szCs w:val="20"/>
              </w:rPr>
              <w:t xml:space="preserve">Wiggins &amp; </w:t>
            </w:r>
            <w:proofErr w:type="spellStart"/>
            <w:r>
              <w:rPr>
                <w:sz w:val="20"/>
                <w:szCs w:val="20"/>
              </w:rPr>
              <w:t>McTighe</w:t>
            </w:r>
            <w:proofErr w:type="spellEnd"/>
            <w:r>
              <w:rPr>
                <w:sz w:val="20"/>
                <w:szCs w:val="20"/>
              </w:rPr>
              <w:t xml:space="preserve">, Jones, </w:t>
            </w:r>
            <w:proofErr w:type="spellStart"/>
            <w:r>
              <w:rPr>
                <w:sz w:val="20"/>
                <w:szCs w:val="20"/>
              </w:rPr>
              <w:t>Marzano</w:t>
            </w:r>
            <w:proofErr w:type="spellEnd"/>
            <w:r>
              <w:rPr>
                <w:sz w:val="20"/>
                <w:szCs w:val="20"/>
              </w:rPr>
              <w:t>, field experience                   INTASC #7</w:t>
            </w:r>
          </w:p>
        </w:tc>
        <w:tc>
          <w:tcPr>
            <w:tcW w:w="990" w:type="dxa"/>
          </w:tcPr>
          <w:p w:rsidR="00A86977" w:rsidRDefault="00A86977" w:rsidP="008B31B9">
            <w:pPr>
              <w:pStyle w:val="NoSpacing"/>
              <w:rPr>
                <w:sz w:val="20"/>
                <w:szCs w:val="20"/>
              </w:rPr>
            </w:pPr>
            <w:r>
              <w:rPr>
                <w:sz w:val="20"/>
                <w:szCs w:val="20"/>
              </w:rPr>
              <w:t>x4</w:t>
            </w:r>
          </w:p>
        </w:tc>
        <w:tc>
          <w:tcPr>
            <w:tcW w:w="1278" w:type="dxa"/>
          </w:tcPr>
          <w:p w:rsidR="00A86977" w:rsidRDefault="00A86977" w:rsidP="008B31B9">
            <w:pPr>
              <w:pStyle w:val="NoSpacing"/>
              <w:rPr>
                <w:sz w:val="20"/>
                <w:szCs w:val="20"/>
              </w:rPr>
            </w:pPr>
          </w:p>
        </w:tc>
      </w:tr>
      <w:tr w:rsidR="00A86977" w:rsidTr="008B31B9">
        <w:tc>
          <w:tcPr>
            <w:tcW w:w="3294" w:type="dxa"/>
          </w:tcPr>
          <w:p w:rsidR="00A86977" w:rsidRDefault="00A86977" w:rsidP="008B31B9">
            <w:pPr>
              <w:pStyle w:val="NoSpacing"/>
              <w:rPr>
                <w:sz w:val="20"/>
                <w:szCs w:val="20"/>
              </w:rPr>
            </w:pPr>
            <w:r>
              <w:rPr>
                <w:sz w:val="20"/>
                <w:szCs w:val="20"/>
              </w:rPr>
              <w:t>Course attendance and weekly questions</w:t>
            </w:r>
          </w:p>
        </w:tc>
        <w:tc>
          <w:tcPr>
            <w:tcW w:w="7614" w:type="dxa"/>
          </w:tcPr>
          <w:p w:rsidR="00A86977" w:rsidRDefault="00A86977" w:rsidP="008B31B9">
            <w:pPr>
              <w:pStyle w:val="NoSpacing"/>
              <w:rPr>
                <w:sz w:val="20"/>
                <w:szCs w:val="20"/>
              </w:rPr>
            </w:pPr>
            <w:r>
              <w:rPr>
                <w:sz w:val="20"/>
                <w:szCs w:val="20"/>
              </w:rPr>
              <w:t>Professional disposition, critical reflection                                       INTASC #9</w:t>
            </w:r>
          </w:p>
        </w:tc>
        <w:tc>
          <w:tcPr>
            <w:tcW w:w="990" w:type="dxa"/>
          </w:tcPr>
          <w:p w:rsidR="00A86977" w:rsidRDefault="00A86977" w:rsidP="008B31B9">
            <w:pPr>
              <w:pStyle w:val="NoSpacing"/>
              <w:rPr>
                <w:sz w:val="20"/>
                <w:szCs w:val="20"/>
              </w:rPr>
            </w:pPr>
            <w:r>
              <w:rPr>
                <w:sz w:val="20"/>
                <w:szCs w:val="20"/>
              </w:rPr>
              <w:t>1</w:t>
            </w:r>
          </w:p>
        </w:tc>
        <w:tc>
          <w:tcPr>
            <w:tcW w:w="1278" w:type="dxa"/>
          </w:tcPr>
          <w:p w:rsidR="00A86977" w:rsidRDefault="00A86977" w:rsidP="008B31B9">
            <w:pPr>
              <w:pStyle w:val="NoSpacing"/>
              <w:rPr>
                <w:sz w:val="20"/>
                <w:szCs w:val="20"/>
              </w:rPr>
            </w:pPr>
          </w:p>
        </w:tc>
      </w:tr>
      <w:tr w:rsidR="00A86977" w:rsidTr="008B31B9">
        <w:tc>
          <w:tcPr>
            <w:tcW w:w="3294" w:type="dxa"/>
          </w:tcPr>
          <w:p w:rsidR="00A86977" w:rsidRDefault="00A86977" w:rsidP="008B31B9">
            <w:pPr>
              <w:pStyle w:val="NoSpacing"/>
              <w:rPr>
                <w:sz w:val="20"/>
                <w:szCs w:val="20"/>
              </w:rPr>
            </w:pPr>
            <w:r>
              <w:rPr>
                <w:sz w:val="20"/>
                <w:szCs w:val="20"/>
              </w:rPr>
              <w:t>Collaborative inquiry project</w:t>
            </w:r>
          </w:p>
        </w:tc>
        <w:tc>
          <w:tcPr>
            <w:tcW w:w="7614" w:type="dxa"/>
          </w:tcPr>
          <w:p w:rsidR="00A86977" w:rsidRDefault="00A86977" w:rsidP="008B31B9">
            <w:pPr>
              <w:pStyle w:val="NoSpacing"/>
              <w:rPr>
                <w:sz w:val="20"/>
                <w:szCs w:val="20"/>
              </w:rPr>
            </w:pPr>
            <w:proofErr w:type="spellStart"/>
            <w:r>
              <w:rPr>
                <w:sz w:val="20"/>
                <w:szCs w:val="20"/>
              </w:rPr>
              <w:t>Marzano</w:t>
            </w:r>
            <w:proofErr w:type="spellEnd"/>
            <w:r>
              <w:rPr>
                <w:sz w:val="20"/>
                <w:szCs w:val="20"/>
              </w:rPr>
              <w:t>, Jones, field experience                                                    INTASC #4</w:t>
            </w:r>
          </w:p>
        </w:tc>
        <w:tc>
          <w:tcPr>
            <w:tcW w:w="990" w:type="dxa"/>
          </w:tcPr>
          <w:p w:rsidR="00A86977" w:rsidRDefault="00A86977" w:rsidP="008B31B9">
            <w:pPr>
              <w:pStyle w:val="NoSpacing"/>
              <w:rPr>
                <w:sz w:val="20"/>
                <w:szCs w:val="20"/>
              </w:rPr>
            </w:pPr>
            <w:r>
              <w:rPr>
                <w:sz w:val="20"/>
                <w:szCs w:val="20"/>
              </w:rPr>
              <w:t>x2</w:t>
            </w:r>
          </w:p>
        </w:tc>
        <w:tc>
          <w:tcPr>
            <w:tcW w:w="1278" w:type="dxa"/>
          </w:tcPr>
          <w:p w:rsidR="00A86977" w:rsidRDefault="00A86977" w:rsidP="008B31B9">
            <w:pPr>
              <w:pStyle w:val="NoSpacing"/>
              <w:rPr>
                <w:sz w:val="20"/>
                <w:szCs w:val="20"/>
              </w:rPr>
            </w:pPr>
          </w:p>
        </w:tc>
      </w:tr>
      <w:tr w:rsidR="00A86977" w:rsidTr="008B31B9">
        <w:tc>
          <w:tcPr>
            <w:tcW w:w="3294" w:type="dxa"/>
          </w:tcPr>
          <w:p w:rsidR="00A86977" w:rsidRDefault="00A86977" w:rsidP="008B31B9">
            <w:pPr>
              <w:pStyle w:val="NoSpacing"/>
              <w:rPr>
                <w:sz w:val="20"/>
                <w:szCs w:val="20"/>
              </w:rPr>
            </w:pPr>
            <w:r>
              <w:rPr>
                <w:sz w:val="20"/>
                <w:szCs w:val="20"/>
              </w:rPr>
              <w:t>Pre/post assessment</w:t>
            </w:r>
          </w:p>
        </w:tc>
        <w:tc>
          <w:tcPr>
            <w:tcW w:w="7614" w:type="dxa"/>
          </w:tcPr>
          <w:p w:rsidR="00A86977" w:rsidRDefault="00A86977" w:rsidP="008B31B9">
            <w:pPr>
              <w:pStyle w:val="NoSpacing"/>
              <w:rPr>
                <w:sz w:val="20"/>
                <w:szCs w:val="20"/>
              </w:rPr>
            </w:pPr>
            <w:proofErr w:type="spellStart"/>
            <w:r>
              <w:rPr>
                <w:sz w:val="20"/>
                <w:szCs w:val="20"/>
              </w:rPr>
              <w:t>Marzano</w:t>
            </w:r>
            <w:proofErr w:type="spellEnd"/>
            <w:r>
              <w:rPr>
                <w:sz w:val="20"/>
                <w:szCs w:val="20"/>
              </w:rPr>
              <w:t xml:space="preserve">, Wiggins &amp; </w:t>
            </w:r>
            <w:proofErr w:type="spellStart"/>
            <w:r>
              <w:rPr>
                <w:sz w:val="20"/>
                <w:szCs w:val="20"/>
              </w:rPr>
              <w:t>McTighe</w:t>
            </w:r>
            <w:proofErr w:type="spellEnd"/>
            <w:r>
              <w:rPr>
                <w:sz w:val="20"/>
                <w:szCs w:val="20"/>
              </w:rPr>
              <w:t>, field experience                               INTASC #8</w:t>
            </w:r>
          </w:p>
        </w:tc>
        <w:tc>
          <w:tcPr>
            <w:tcW w:w="990" w:type="dxa"/>
          </w:tcPr>
          <w:p w:rsidR="00A86977" w:rsidRDefault="00A86977" w:rsidP="008B31B9">
            <w:pPr>
              <w:pStyle w:val="NoSpacing"/>
              <w:rPr>
                <w:sz w:val="20"/>
                <w:szCs w:val="20"/>
              </w:rPr>
            </w:pPr>
            <w:r>
              <w:rPr>
                <w:sz w:val="20"/>
                <w:szCs w:val="20"/>
              </w:rPr>
              <w:t>x2</w:t>
            </w:r>
          </w:p>
        </w:tc>
        <w:tc>
          <w:tcPr>
            <w:tcW w:w="1278" w:type="dxa"/>
          </w:tcPr>
          <w:p w:rsidR="00A86977" w:rsidRDefault="00A86977" w:rsidP="008B31B9">
            <w:pPr>
              <w:pStyle w:val="NoSpacing"/>
              <w:rPr>
                <w:sz w:val="20"/>
                <w:szCs w:val="20"/>
              </w:rPr>
            </w:pPr>
          </w:p>
        </w:tc>
      </w:tr>
      <w:tr w:rsidR="00A86977" w:rsidTr="008B31B9">
        <w:tc>
          <w:tcPr>
            <w:tcW w:w="3294" w:type="dxa"/>
          </w:tcPr>
          <w:p w:rsidR="00A86977" w:rsidRPr="00F20CF3" w:rsidRDefault="00A86977" w:rsidP="008B31B9">
            <w:pPr>
              <w:pStyle w:val="NoSpacing"/>
              <w:rPr>
                <w:sz w:val="20"/>
                <w:szCs w:val="20"/>
              </w:rPr>
            </w:pPr>
            <w:r>
              <w:rPr>
                <w:sz w:val="20"/>
                <w:szCs w:val="20"/>
              </w:rPr>
              <w:t>Completion of field experience (effort)</w:t>
            </w:r>
          </w:p>
        </w:tc>
        <w:tc>
          <w:tcPr>
            <w:tcW w:w="7614" w:type="dxa"/>
          </w:tcPr>
          <w:p w:rsidR="00A86977" w:rsidRDefault="00A86977" w:rsidP="008B31B9">
            <w:pPr>
              <w:pStyle w:val="NoSpacing"/>
              <w:rPr>
                <w:sz w:val="20"/>
                <w:szCs w:val="20"/>
              </w:rPr>
            </w:pPr>
            <w:proofErr w:type="spellStart"/>
            <w:r>
              <w:rPr>
                <w:sz w:val="20"/>
                <w:szCs w:val="20"/>
              </w:rPr>
              <w:t>Marzano</w:t>
            </w:r>
            <w:proofErr w:type="spellEnd"/>
            <w:r>
              <w:rPr>
                <w:sz w:val="20"/>
                <w:szCs w:val="20"/>
              </w:rPr>
              <w:t xml:space="preserve">, field experience                                                      </w:t>
            </w:r>
          </w:p>
        </w:tc>
        <w:tc>
          <w:tcPr>
            <w:tcW w:w="990" w:type="dxa"/>
          </w:tcPr>
          <w:p w:rsidR="00A86977" w:rsidRDefault="00A86977" w:rsidP="008B31B9">
            <w:pPr>
              <w:pStyle w:val="NoSpacing"/>
              <w:rPr>
                <w:sz w:val="20"/>
                <w:szCs w:val="20"/>
              </w:rPr>
            </w:pPr>
            <w:r>
              <w:rPr>
                <w:sz w:val="20"/>
                <w:szCs w:val="20"/>
              </w:rPr>
              <w:t>1</w:t>
            </w:r>
          </w:p>
        </w:tc>
        <w:tc>
          <w:tcPr>
            <w:tcW w:w="1278" w:type="dxa"/>
          </w:tcPr>
          <w:p w:rsidR="00A86977" w:rsidRDefault="00A86977" w:rsidP="008B31B9">
            <w:pPr>
              <w:pStyle w:val="NoSpacing"/>
              <w:rPr>
                <w:sz w:val="20"/>
                <w:szCs w:val="20"/>
              </w:rPr>
            </w:pPr>
          </w:p>
        </w:tc>
      </w:tr>
      <w:tr w:rsidR="00A86977" w:rsidTr="008B31B9">
        <w:tc>
          <w:tcPr>
            <w:tcW w:w="3294" w:type="dxa"/>
          </w:tcPr>
          <w:p w:rsidR="00A86977" w:rsidRDefault="00A86977" w:rsidP="008B31B9">
            <w:pPr>
              <w:pStyle w:val="NoSpacing"/>
              <w:rPr>
                <w:sz w:val="20"/>
                <w:szCs w:val="20"/>
              </w:rPr>
            </w:pPr>
            <w:r>
              <w:rPr>
                <w:sz w:val="20"/>
                <w:szCs w:val="20"/>
              </w:rPr>
              <w:lastRenderedPageBreak/>
              <w:t>Oral response to essential questions</w:t>
            </w:r>
          </w:p>
        </w:tc>
        <w:tc>
          <w:tcPr>
            <w:tcW w:w="7614" w:type="dxa"/>
          </w:tcPr>
          <w:p w:rsidR="00A86977" w:rsidRDefault="00A86977" w:rsidP="008B31B9">
            <w:pPr>
              <w:pStyle w:val="NoSpacing"/>
              <w:rPr>
                <w:sz w:val="20"/>
                <w:szCs w:val="20"/>
              </w:rPr>
            </w:pPr>
            <w:r>
              <w:rPr>
                <w:sz w:val="20"/>
                <w:szCs w:val="20"/>
              </w:rPr>
              <w:t xml:space="preserve">Wiggins &amp; </w:t>
            </w:r>
            <w:proofErr w:type="spellStart"/>
            <w:r>
              <w:rPr>
                <w:sz w:val="20"/>
                <w:szCs w:val="20"/>
              </w:rPr>
              <w:t>McTighe</w:t>
            </w:r>
            <w:proofErr w:type="spellEnd"/>
            <w:r>
              <w:rPr>
                <w:sz w:val="20"/>
                <w:szCs w:val="20"/>
              </w:rPr>
              <w:t xml:space="preserve">, </w:t>
            </w:r>
            <w:proofErr w:type="spellStart"/>
            <w:r>
              <w:rPr>
                <w:sz w:val="20"/>
                <w:szCs w:val="20"/>
              </w:rPr>
              <w:t>Marzano</w:t>
            </w:r>
            <w:proofErr w:type="spellEnd"/>
            <w:r>
              <w:rPr>
                <w:sz w:val="20"/>
                <w:szCs w:val="20"/>
              </w:rPr>
              <w:t>, Jones, field experience                    INTASC #5 or #9</w:t>
            </w:r>
          </w:p>
        </w:tc>
        <w:tc>
          <w:tcPr>
            <w:tcW w:w="990" w:type="dxa"/>
          </w:tcPr>
          <w:p w:rsidR="00A86977" w:rsidRDefault="00A86977" w:rsidP="008B31B9">
            <w:pPr>
              <w:pStyle w:val="NoSpacing"/>
              <w:rPr>
                <w:sz w:val="20"/>
                <w:szCs w:val="20"/>
              </w:rPr>
            </w:pPr>
            <w:r>
              <w:rPr>
                <w:sz w:val="20"/>
                <w:szCs w:val="20"/>
              </w:rPr>
              <w:t>2</w:t>
            </w:r>
          </w:p>
        </w:tc>
        <w:tc>
          <w:tcPr>
            <w:tcW w:w="1278" w:type="dxa"/>
          </w:tcPr>
          <w:p w:rsidR="00A86977" w:rsidRDefault="00A86977" w:rsidP="008B31B9">
            <w:pPr>
              <w:pStyle w:val="NoSpacing"/>
              <w:rPr>
                <w:sz w:val="20"/>
                <w:szCs w:val="20"/>
              </w:rPr>
            </w:pPr>
          </w:p>
        </w:tc>
      </w:tr>
      <w:tr w:rsidR="00A86977" w:rsidRPr="00A631AF" w:rsidTr="008B31B9">
        <w:tc>
          <w:tcPr>
            <w:tcW w:w="3294" w:type="dxa"/>
          </w:tcPr>
          <w:p w:rsidR="00A86977" w:rsidRPr="00A631AF" w:rsidRDefault="00A86977" w:rsidP="008B31B9">
            <w:pPr>
              <w:pStyle w:val="NoSpacing"/>
              <w:rPr>
                <w:b/>
                <w:sz w:val="20"/>
                <w:szCs w:val="20"/>
              </w:rPr>
            </w:pPr>
            <w:r w:rsidRPr="00A631AF">
              <w:rPr>
                <w:b/>
                <w:sz w:val="20"/>
                <w:szCs w:val="20"/>
              </w:rPr>
              <w:t>Course grade</w:t>
            </w:r>
          </w:p>
        </w:tc>
        <w:tc>
          <w:tcPr>
            <w:tcW w:w="7614" w:type="dxa"/>
          </w:tcPr>
          <w:p w:rsidR="00A86977" w:rsidRPr="00A631AF" w:rsidRDefault="00A86977" w:rsidP="008B31B9">
            <w:pPr>
              <w:pStyle w:val="NoSpacing"/>
              <w:rPr>
                <w:b/>
                <w:sz w:val="20"/>
                <w:szCs w:val="20"/>
              </w:rPr>
            </w:pPr>
            <w:r>
              <w:rPr>
                <w:b/>
                <w:sz w:val="20"/>
                <w:szCs w:val="20"/>
              </w:rPr>
              <w:t>Based on 8</w:t>
            </w:r>
            <w:r w:rsidRPr="00A631AF">
              <w:rPr>
                <w:b/>
                <w:sz w:val="20"/>
                <w:szCs w:val="20"/>
              </w:rPr>
              <w:t xml:space="preserve"> assignments</w:t>
            </w:r>
          </w:p>
        </w:tc>
        <w:tc>
          <w:tcPr>
            <w:tcW w:w="990" w:type="dxa"/>
          </w:tcPr>
          <w:p w:rsidR="00A86977" w:rsidRPr="00A631AF" w:rsidRDefault="00A86977" w:rsidP="008B31B9">
            <w:pPr>
              <w:pStyle w:val="NoSpacing"/>
              <w:rPr>
                <w:b/>
                <w:sz w:val="20"/>
                <w:szCs w:val="20"/>
              </w:rPr>
            </w:pPr>
            <w:r>
              <w:rPr>
                <w:b/>
                <w:sz w:val="20"/>
                <w:szCs w:val="20"/>
              </w:rPr>
              <w:t>17</w:t>
            </w:r>
            <w:r w:rsidRPr="00A631AF">
              <w:rPr>
                <w:b/>
                <w:sz w:val="20"/>
                <w:szCs w:val="20"/>
              </w:rPr>
              <w:t xml:space="preserve"> scores</w:t>
            </w:r>
          </w:p>
        </w:tc>
        <w:tc>
          <w:tcPr>
            <w:tcW w:w="1278" w:type="dxa"/>
          </w:tcPr>
          <w:p w:rsidR="00A86977" w:rsidRPr="00A631AF" w:rsidRDefault="00A86977" w:rsidP="008B31B9">
            <w:pPr>
              <w:pStyle w:val="NoSpacing"/>
              <w:rPr>
                <w:b/>
                <w:sz w:val="20"/>
                <w:szCs w:val="20"/>
              </w:rPr>
            </w:pPr>
          </w:p>
        </w:tc>
      </w:tr>
      <w:tr w:rsidR="00A86977" w:rsidRPr="00A631AF" w:rsidTr="008B31B9">
        <w:tc>
          <w:tcPr>
            <w:tcW w:w="3294" w:type="dxa"/>
          </w:tcPr>
          <w:p w:rsidR="00A86977" w:rsidRPr="00A631AF" w:rsidRDefault="00A86977" w:rsidP="008B31B9">
            <w:pPr>
              <w:pStyle w:val="NoSpacing"/>
              <w:rPr>
                <w:b/>
                <w:sz w:val="20"/>
                <w:szCs w:val="20"/>
              </w:rPr>
            </w:pPr>
            <w:r>
              <w:rPr>
                <w:b/>
                <w:sz w:val="20"/>
                <w:szCs w:val="20"/>
              </w:rPr>
              <w:t xml:space="preserve">EXTRA CREDIT </w:t>
            </w:r>
          </w:p>
        </w:tc>
        <w:tc>
          <w:tcPr>
            <w:tcW w:w="7614" w:type="dxa"/>
          </w:tcPr>
          <w:p w:rsidR="00A86977" w:rsidRDefault="00A86977" w:rsidP="008B31B9">
            <w:pPr>
              <w:pStyle w:val="NoSpacing"/>
              <w:rPr>
                <w:sz w:val="20"/>
                <w:szCs w:val="20"/>
              </w:rPr>
            </w:pPr>
            <w:r>
              <w:rPr>
                <w:sz w:val="20"/>
                <w:szCs w:val="20"/>
              </w:rPr>
              <w:t>Weekly one-page journal open response to any  of</w:t>
            </w:r>
          </w:p>
          <w:p w:rsidR="00A86977" w:rsidRPr="00B46C44" w:rsidRDefault="00A86977" w:rsidP="008B31B9">
            <w:pPr>
              <w:pStyle w:val="NoSpacing"/>
              <w:rPr>
                <w:sz w:val="20"/>
                <w:szCs w:val="20"/>
              </w:rPr>
            </w:pPr>
            <w:r>
              <w:rPr>
                <w:sz w:val="20"/>
                <w:szCs w:val="20"/>
              </w:rPr>
              <w:t>the course essential questions                                                          INTASC #9</w:t>
            </w:r>
          </w:p>
        </w:tc>
        <w:tc>
          <w:tcPr>
            <w:tcW w:w="990" w:type="dxa"/>
          </w:tcPr>
          <w:p w:rsidR="00A86977" w:rsidRPr="00B55E2D" w:rsidRDefault="00A86977" w:rsidP="008B31B9">
            <w:pPr>
              <w:pStyle w:val="NoSpacing"/>
              <w:rPr>
                <w:sz w:val="20"/>
                <w:szCs w:val="20"/>
              </w:rPr>
            </w:pPr>
            <w:r>
              <w:rPr>
                <w:sz w:val="20"/>
                <w:szCs w:val="20"/>
              </w:rPr>
              <w:t>1 A</w:t>
            </w:r>
          </w:p>
        </w:tc>
        <w:tc>
          <w:tcPr>
            <w:tcW w:w="1278" w:type="dxa"/>
          </w:tcPr>
          <w:p w:rsidR="00A86977" w:rsidRPr="00A631AF" w:rsidRDefault="00A86977" w:rsidP="008B31B9">
            <w:pPr>
              <w:pStyle w:val="NoSpacing"/>
              <w:rPr>
                <w:b/>
                <w:sz w:val="20"/>
                <w:szCs w:val="20"/>
              </w:rPr>
            </w:pPr>
          </w:p>
        </w:tc>
      </w:tr>
    </w:tbl>
    <w:p w:rsidR="00A86977" w:rsidRPr="00C876F9" w:rsidRDefault="00A86977" w:rsidP="00A86977">
      <w:pPr>
        <w:pStyle w:val="NoSpacing"/>
        <w:rPr>
          <w:sz w:val="20"/>
          <w:szCs w:val="20"/>
        </w:rPr>
      </w:pPr>
    </w:p>
    <w:p w:rsidR="003C1E50" w:rsidRPr="003C1E50" w:rsidRDefault="003C1E50" w:rsidP="00A86977">
      <w:pPr>
        <w:rPr>
          <w:sz w:val="20"/>
          <w:szCs w:val="20"/>
        </w:rPr>
      </w:pPr>
    </w:p>
    <w:sectPr w:rsidR="003C1E50" w:rsidRPr="003C1E50" w:rsidSect="00A8697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20"/>
  <w:displayHorizontalDrawingGridEvery w:val="2"/>
  <w:characterSpacingControl w:val="doNotCompress"/>
  <w:compat/>
  <w:rsids>
    <w:rsidRoot w:val="003C1E50"/>
    <w:rsid w:val="000E04F1"/>
    <w:rsid w:val="001328C6"/>
    <w:rsid w:val="00152BA8"/>
    <w:rsid w:val="003B28F0"/>
    <w:rsid w:val="003C1E50"/>
    <w:rsid w:val="004109BB"/>
    <w:rsid w:val="00650102"/>
    <w:rsid w:val="00687C99"/>
    <w:rsid w:val="009A3901"/>
    <w:rsid w:val="009F5835"/>
    <w:rsid w:val="00A86977"/>
    <w:rsid w:val="00B81EDA"/>
    <w:rsid w:val="00BC2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E50"/>
    <w:pPr>
      <w:spacing w:after="0" w:line="240" w:lineRule="auto"/>
    </w:pPr>
  </w:style>
  <w:style w:type="table" w:styleId="TableGrid">
    <w:name w:val="Table Grid"/>
    <w:basedOn w:val="TableNormal"/>
    <w:uiPriority w:val="59"/>
    <w:rsid w:val="00A8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2</cp:revision>
  <dcterms:created xsi:type="dcterms:W3CDTF">2013-08-12T13:16:00Z</dcterms:created>
  <dcterms:modified xsi:type="dcterms:W3CDTF">2013-08-12T13:16:00Z</dcterms:modified>
</cp:coreProperties>
</file>