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8C" w:rsidRDefault="00F9308C" w:rsidP="00B35310">
      <w:bookmarkStart w:id="0" w:name="_GoBack"/>
      <w:bookmarkEnd w:id="0"/>
    </w:p>
    <w:p w:rsidR="00B35310" w:rsidRDefault="00750586" w:rsidP="00B35310">
      <w:r>
        <w:t>Assessment # 1</w:t>
      </w:r>
      <w:r w:rsidR="00B35310">
        <w:t xml:space="preserve">:  </w:t>
      </w:r>
      <w:r w:rsidR="00B35310" w:rsidRPr="00842984">
        <w:t>Praxis II data</w:t>
      </w:r>
      <w:r w:rsidR="00B35310">
        <w:t xml:space="preserve"> </w:t>
      </w:r>
    </w:p>
    <w:p w:rsidR="00F70524" w:rsidRPr="00750586" w:rsidRDefault="00F70524" w:rsidP="00B35310">
      <w:pPr>
        <w:rPr>
          <w:b/>
        </w:rPr>
      </w:pPr>
      <w:r w:rsidRPr="00750586">
        <w:rPr>
          <w:b/>
        </w:rPr>
        <w:t xml:space="preserve">5011/0011 Elementary Education Generalist Exam/0300 Reading Specialist Exam Data </w:t>
      </w:r>
    </w:p>
    <w:p w:rsidR="005D7FF4" w:rsidRDefault="00F70524" w:rsidP="00B35310">
      <w:r>
        <w:t>Required for cohorts prior 2012</w:t>
      </w:r>
    </w:p>
    <w:p w:rsidR="00F70524" w:rsidRPr="00750586" w:rsidRDefault="005D7FF4" w:rsidP="00B35310">
      <w:pPr>
        <w:rPr>
          <w:b/>
        </w:rPr>
      </w:pPr>
      <w:r w:rsidRPr="00750586">
        <w:rPr>
          <w:b/>
        </w:rPr>
        <w:t>Overall Passing S</w:t>
      </w:r>
      <w:r w:rsidR="006A6373">
        <w:rPr>
          <w:b/>
        </w:rPr>
        <w:t xml:space="preserve">core for exam 5011 is 165;   for </w:t>
      </w:r>
      <w:proofErr w:type="gramStart"/>
      <w:r w:rsidR="006A6373">
        <w:rPr>
          <w:b/>
        </w:rPr>
        <w:t>exam  0300</w:t>
      </w:r>
      <w:proofErr w:type="gramEnd"/>
      <w:r w:rsidR="006A6373">
        <w:rPr>
          <w:b/>
        </w:rPr>
        <w:t xml:space="preserve"> is 3</w:t>
      </w:r>
      <w:r w:rsidRPr="00750586">
        <w:rPr>
          <w:b/>
        </w:rPr>
        <w:t>70</w:t>
      </w:r>
      <w:r w:rsidR="00F70524" w:rsidRPr="00750586">
        <w:rPr>
          <w:b/>
        </w:rPr>
        <w:t xml:space="preserve"> </w:t>
      </w:r>
    </w:p>
    <w:tbl>
      <w:tblPr>
        <w:tblStyle w:val="TableGrid"/>
        <w:tblW w:w="10638" w:type="dxa"/>
        <w:tblLayout w:type="fixed"/>
        <w:tblLook w:val="04A0" w:firstRow="1" w:lastRow="0" w:firstColumn="1" w:lastColumn="0" w:noHBand="0" w:noVBand="1"/>
      </w:tblPr>
      <w:tblGrid>
        <w:gridCol w:w="1548"/>
        <w:gridCol w:w="1062"/>
        <w:gridCol w:w="1062"/>
        <w:gridCol w:w="1120"/>
        <w:gridCol w:w="15"/>
        <w:gridCol w:w="953"/>
        <w:gridCol w:w="1530"/>
        <w:gridCol w:w="1170"/>
        <w:gridCol w:w="977"/>
        <w:gridCol w:w="1201"/>
      </w:tblGrid>
      <w:tr w:rsidR="005D7FF4" w:rsidRPr="00842984" w:rsidTr="005D7FF4">
        <w:trPr>
          <w:trHeight w:val="1583"/>
        </w:trPr>
        <w:tc>
          <w:tcPr>
            <w:tcW w:w="1548" w:type="dxa"/>
          </w:tcPr>
          <w:p w:rsidR="005D7FF4" w:rsidRPr="00842984" w:rsidRDefault="005D7FF4" w:rsidP="009A513D">
            <w:pPr>
              <w:spacing w:before="100" w:beforeAutospacing="1" w:after="100" w:afterAutospacing="1"/>
            </w:pPr>
            <w:r w:rsidRPr="00842984">
              <w:t>Cohort</w:t>
            </w:r>
          </w:p>
          <w:p w:rsidR="005D7FF4" w:rsidRPr="00750586" w:rsidRDefault="005D7FF4" w:rsidP="00B35310">
            <w:pPr>
              <w:spacing w:before="100" w:beforeAutospacing="1" w:after="100" w:afterAutospacing="1"/>
              <w:rPr>
                <w:b/>
              </w:rPr>
            </w:pPr>
            <w:r w:rsidRPr="00750586">
              <w:rPr>
                <w:b/>
              </w:rPr>
              <w:t>ACEI standards</w:t>
            </w:r>
          </w:p>
        </w:tc>
        <w:tc>
          <w:tcPr>
            <w:tcW w:w="1062" w:type="dxa"/>
          </w:tcPr>
          <w:p w:rsidR="009E2B57" w:rsidRDefault="005D7FF4" w:rsidP="009A513D">
            <w:pPr>
              <w:spacing w:before="100" w:beforeAutospacing="1"/>
            </w:pPr>
            <w:r>
              <w:t>Overall</w:t>
            </w:r>
          </w:p>
          <w:p w:rsidR="001567B8" w:rsidRPr="00842984" w:rsidRDefault="001567B8" w:rsidP="009A513D">
            <w:pPr>
              <w:spacing w:before="100" w:beforeAutospacing="1"/>
            </w:pPr>
          </w:p>
        </w:tc>
        <w:tc>
          <w:tcPr>
            <w:tcW w:w="1062" w:type="dxa"/>
          </w:tcPr>
          <w:p w:rsidR="005D7FF4" w:rsidRDefault="005D7FF4" w:rsidP="009A513D">
            <w:pPr>
              <w:spacing w:before="100" w:beforeAutospacing="1"/>
            </w:pPr>
            <w:r w:rsidRPr="00842984">
              <w:t>Readin</w:t>
            </w:r>
            <w:r>
              <w:t xml:space="preserve">g </w:t>
            </w:r>
          </w:p>
          <w:p w:rsidR="005D7FF4" w:rsidRPr="00842984" w:rsidRDefault="005D7FF4" w:rsidP="009A513D">
            <w:pPr>
              <w:spacing w:before="100" w:beforeAutospacing="1"/>
            </w:pPr>
            <w:r>
              <w:t>2.1</w:t>
            </w:r>
          </w:p>
        </w:tc>
        <w:tc>
          <w:tcPr>
            <w:tcW w:w="1135" w:type="dxa"/>
            <w:gridSpan w:val="2"/>
          </w:tcPr>
          <w:p w:rsidR="005D7FF4" w:rsidRDefault="005D7FF4" w:rsidP="009A513D">
            <w:pPr>
              <w:spacing w:before="100" w:beforeAutospacing="1" w:after="100" w:afterAutospacing="1"/>
            </w:pPr>
            <w:r w:rsidRPr="00842984">
              <w:t>Math</w:t>
            </w:r>
          </w:p>
          <w:p w:rsidR="005D7FF4" w:rsidRPr="00842984" w:rsidRDefault="005D7FF4" w:rsidP="00B35310">
            <w:pPr>
              <w:spacing w:before="100" w:beforeAutospacing="1"/>
            </w:pPr>
            <w:r>
              <w:t>2.3</w:t>
            </w:r>
          </w:p>
        </w:tc>
        <w:tc>
          <w:tcPr>
            <w:tcW w:w="953" w:type="dxa"/>
          </w:tcPr>
          <w:p w:rsidR="005D7FF4" w:rsidRDefault="005D7FF4" w:rsidP="009A513D">
            <w:pPr>
              <w:spacing w:before="100" w:beforeAutospacing="1" w:after="100" w:afterAutospacing="1"/>
            </w:pPr>
            <w:r w:rsidRPr="00842984">
              <w:t>Science</w:t>
            </w:r>
          </w:p>
          <w:p w:rsidR="005D7FF4" w:rsidRDefault="005D7FF4" w:rsidP="009A513D">
            <w:pPr>
              <w:spacing w:before="100" w:beforeAutospacing="1" w:after="100" w:afterAutospacing="1"/>
            </w:pPr>
            <w:r>
              <w:t>2.2</w:t>
            </w:r>
          </w:p>
          <w:p w:rsidR="005D7FF4" w:rsidRPr="00842984" w:rsidRDefault="005D7FF4" w:rsidP="009A513D">
            <w:pPr>
              <w:spacing w:before="100" w:beforeAutospacing="1" w:after="100" w:afterAutospacing="1"/>
            </w:pPr>
          </w:p>
        </w:tc>
        <w:tc>
          <w:tcPr>
            <w:tcW w:w="1530" w:type="dxa"/>
          </w:tcPr>
          <w:p w:rsidR="005D7FF4" w:rsidRDefault="005D7FF4" w:rsidP="009A513D">
            <w:pPr>
              <w:spacing w:before="100" w:beforeAutospacing="1" w:after="100" w:afterAutospacing="1"/>
            </w:pPr>
            <w:r>
              <w:t xml:space="preserve">Social </w:t>
            </w:r>
            <w:r w:rsidRPr="00842984">
              <w:t>Studies</w:t>
            </w:r>
          </w:p>
          <w:p w:rsidR="005D7FF4" w:rsidRPr="00842984" w:rsidRDefault="005D7FF4" w:rsidP="009A513D">
            <w:pPr>
              <w:spacing w:before="100" w:beforeAutospacing="1" w:after="100" w:afterAutospacing="1"/>
            </w:pPr>
            <w:r>
              <w:t>2.4</w:t>
            </w:r>
          </w:p>
        </w:tc>
        <w:tc>
          <w:tcPr>
            <w:tcW w:w="1170" w:type="dxa"/>
          </w:tcPr>
          <w:p w:rsidR="005D7FF4" w:rsidRDefault="005D7FF4" w:rsidP="009A513D">
            <w:pPr>
              <w:spacing w:before="100" w:beforeAutospacing="1" w:after="100" w:afterAutospacing="1"/>
            </w:pPr>
            <w:r w:rsidRPr="00842984">
              <w:t>Art/PE</w:t>
            </w:r>
          </w:p>
          <w:p w:rsidR="005D7FF4" w:rsidRPr="00842984" w:rsidRDefault="005D7FF4" w:rsidP="009A513D">
            <w:pPr>
              <w:spacing w:before="100" w:beforeAutospacing="1" w:after="100" w:afterAutospacing="1"/>
            </w:pPr>
            <w:r>
              <w:t>2.5/2.6/2.7</w:t>
            </w:r>
          </w:p>
        </w:tc>
        <w:tc>
          <w:tcPr>
            <w:tcW w:w="977" w:type="dxa"/>
          </w:tcPr>
          <w:p w:rsidR="005D7FF4" w:rsidRDefault="005D7FF4" w:rsidP="009A513D">
            <w:pPr>
              <w:spacing w:before="100" w:beforeAutospacing="1" w:after="100" w:afterAutospacing="1"/>
            </w:pPr>
            <w:r w:rsidRPr="00842984">
              <w:t>General</w:t>
            </w:r>
          </w:p>
          <w:p w:rsidR="005D7FF4" w:rsidRPr="00B35310" w:rsidRDefault="005D7FF4" w:rsidP="00B35310"/>
        </w:tc>
        <w:tc>
          <w:tcPr>
            <w:tcW w:w="1201" w:type="dxa"/>
          </w:tcPr>
          <w:p w:rsidR="005D7FF4" w:rsidRPr="00842984" w:rsidRDefault="005D7FF4" w:rsidP="009A513D">
            <w:pPr>
              <w:spacing w:before="100" w:beforeAutospacing="1" w:after="100" w:afterAutospacing="1"/>
            </w:pPr>
            <w:r>
              <w:t>Reading Specialist 2.1</w:t>
            </w:r>
          </w:p>
        </w:tc>
      </w:tr>
      <w:tr w:rsidR="005D7FF4" w:rsidRPr="00842984" w:rsidTr="005D7FF4">
        <w:tc>
          <w:tcPr>
            <w:tcW w:w="1548" w:type="dxa"/>
          </w:tcPr>
          <w:p w:rsidR="005D7FF4" w:rsidRPr="00842984" w:rsidRDefault="005D7FF4" w:rsidP="009A513D">
            <w:pPr>
              <w:spacing w:before="100" w:beforeAutospacing="1" w:after="100" w:afterAutospacing="1"/>
            </w:pPr>
            <w:r w:rsidRPr="00842984">
              <w:t>201</w:t>
            </w:r>
            <w:r>
              <w:t>0</w:t>
            </w:r>
          </w:p>
        </w:tc>
        <w:tc>
          <w:tcPr>
            <w:tcW w:w="1062" w:type="dxa"/>
          </w:tcPr>
          <w:p w:rsidR="005D7FF4" w:rsidRPr="00842984" w:rsidRDefault="005D7FF4" w:rsidP="009A513D">
            <w:pPr>
              <w:spacing w:before="100" w:beforeAutospacing="1" w:after="100" w:afterAutospacing="1"/>
            </w:pPr>
          </w:p>
        </w:tc>
        <w:tc>
          <w:tcPr>
            <w:tcW w:w="1062" w:type="dxa"/>
          </w:tcPr>
          <w:p w:rsidR="005D7FF4" w:rsidRPr="00842984" w:rsidRDefault="005D7FF4" w:rsidP="009A513D">
            <w:pPr>
              <w:spacing w:before="100" w:beforeAutospacing="1" w:after="100" w:afterAutospacing="1"/>
            </w:pPr>
            <w:r w:rsidRPr="00842984">
              <w:t>89.7</w:t>
            </w:r>
          </w:p>
        </w:tc>
        <w:tc>
          <w:tcPr>
            <w:tcW w:w="1135" w:type="dxa"/>
            <w:gridSpan w:val="2"/>
          </w:tcPr>
          <w:p w:rsidR="005D7FF4" w:rsidRDefault="005D7FF4" w:rsidP="009A513D">
            <w:pPr>
              <w:spacing w:before="100" w:beforeAutospacing="1" w:after="100" w:afterAutospacing="1"/>
            </w:pPr>
            <w:r w:rsidRPr="00842984">
              <w:t>71.2</w:t>
            </w:r>
          </w:p>
          <w:p w:rsidR="005D7FF4" w:rsidRPr="00842984" w:rsidRDefault="005D7FF4" w:rsidP="009A513D">
            <w:pPr>
              <w:spacing w:before="100" w:beforeAutospacing="1" w:after="100" w:afterAutospacing="1"/>
            </w:pPr>
          </w:p>
        </w:tc>
        <w:tc>
          <w:tcPr>
            <w:tcW w:w="953" w:type="dxa"/>
          </w:tcPr>
          <w:p w:rsidR="005D7FF4" w:rsidRPr="00842984" w:rsidRDefault="005D7FF4" w:rsidP="009A513D">
            <w:pPr>
              <w:spacing w:before="100" w:beforeAutospacing="1" w:after="100" w:afterAutospacing="1"/>
            </w:pPr>
            <w:r w:rsidRPr="00842984">
              <w:t>80.8</w:t>
            </w:r>
          </w:p>
        </w:tc>
        <w:tc>
          <w:tcPr>
            <w:tcW w:w="1530" w:type="dxa"/>
          </w:tcPr>
          <w:p w:rsidR="005D7FF4" w:rsidRPr="00842984" w:rsidRDefault="005D7FF4" w:rsidP="009A513D">
            <w:pPr>
              <w:spacing w:before="100" w:beforeAutospacing="1" w:after="100" w:afterAutospacing="1"/>
            </w:pPr>
            <w:r w:rsidRPr="00842984">
              <w:t>84</w:t>
            </w:r>
          </w:p>
        </w:tc>
        <w:tc>
          <w:tcPr>
            <w:tcW w:w="1170" w:type="dxa"/>
          </w:tcPr>
          <w:p w:rsidR="005D7FF4" w:rsidRPr="00842984" w:rsidRDefault="005D7FF4" w:rsidP="009A513D">
            <w:pPr>
              <w:spacing w:before="100" w:beforeAutospacing="1" w:after="100" w:afterAutospacing="1"/>
            </w:pPr>
            <w:r w:rsidRPr="00842984">
              <w:t>86.6</w:t>
            </w:r>
          </w:p>
        </w:tc>
        <w:tc>
          <w:tcPr>
            <w:tcW w:w="977" w:type="dxa"/>
          </w:tcPr>
          <w:p w:rsidR="005D7FF4" w:rsidRPr="00842984" w:rsidRDefault="005D7FF4" w:rsidP="009A513D">
            <w:pPr>
              <w:spacing w:before="100" w:beforeAutospacing="1" w:after="100" w:afterAutospacing="1"/>
            </w:pPr>
            <w:r w:rsidRPr="00842984">
              <w:t>84.7</w:t>
            </w:r>
          </w:p>
        </w:tc>
        <w:tc>
          <w:tcPr>
            <w:tcW w:w="1201" w:type="dxa"/>
          </w:tcPr>
          <w:p w:rsidR="005D7FF4" w:rsidRPr="00842984" w:rsidRDefault="005D7FF4" w:rsidP="009A513D">
            <w:pPr>
              <w:spacing w:before="100" w:beforeAutospacing="1" w:after="100" w:afterAutospacing="1"/>
            </w:pPr>
            <w:r w:rsidRPr="00842984">
              <w:t>514</w:t>
            </w:r>
          </w:p>
        </w:tc>
      </w:tr>
      <w:tr w:rsidR="005D7FF4" w:rsidRPr="00842984" w:rsidTr="005D7FF4">
        <w:trPr>
          <w:trHeight w:val="586"/>
        </w:trPr>
        <w:tc>
          <w:tcPr>
            <w:tcW w:w="1548" w:type="dxa"/>
          </w:tcPr>
          <w:p w:rsidR="005D7FF4" w:rsidRDefault="005D7FF4" w:rsidP="009A513D">
            <w:pPr>
              <w:spacing w:before="100" w:beforeAutospacing="1" w:afterAutospacing="1"/>
            </w:pPr>
            <w:r w:rsidRPr="00842984">
              <w:t>2011</w:t>
            </w:r>
          </w:p>
          <w:p w:rsidR="005D7FF4" w:rsidRPr="00842984" w:rsidRDefault="005D7FF4" w:rsidP="009A513D">
            <w:pPr>
              <w:spacing w:before="100" w:beforeAutospacing="1" w:afterAutospacing="1"/>
            </w:pPr>
            <w:r>
              <w:t>12 candidates</w:t>
            </w:r>
          </w:p>
        </w:tc>
        <w:tc>
          <w:tcPr>
            <w:tcW w:w="1062" w:type="dxa"/>
          </w:tcPr>
          <w:p w:rsidR="005D7FF4" w:rsidRDefault="009E2B57" w:rsidP="009A513D">
            <w:pPr>
              <w:spacing w:before="100" w:beforeAutospacing="1" w:after="100" w:afterAutospacing="1"/>
            </w:pPr>
            <w:r>
              <w:t>180.5</w:t>
            </w:r>
          </w:p>
        </w:tc>
        <w:tc>
          <w:tcPr>
            <w:tcW w:w="1062" w:type="dxa"/>
          </w:tcPr>
          <w:p w:rsidR="005D7FF4" w:rsidRPr="00842984" w:rsidRDefault="005D7FF4" w:rsidP="009A513D">
            <w:pPr>
              <w:spacing w:before="100" w:beforeAutospacing="1" w:after="100" w:afterAutospacing="1"/>
            </w:pPr>
            <w:r>
              <w:t>80.1</w:t>
            </w:r>
          </w:p>
        </w:tc>
        <w:tc>
          <w:tcPr>
            <w:tcW w:w="1120" w:type="dxa"/>
          </w:tcPr>
          <w:p w:rsidR="005D7FF4" w:rsidRPr="00842984" w:rsidRDefault="005D7FF4" w:rsidP="009A513D">
            <w:pPr>
              <w:spacing w:before="100" w:beforeAutospacing="1" w:after="100" w:afterAutospacing="1"/>
            </w:pPr>
            <w:r>
              <w:t>81.1</w:t>
            </w:r>
          </w:p>
        </w:tc>
        <w:tc>
          <w:tcPr>
            <w:tcW w:w="968" w:type="dxa"/>
            <w:gridSpan w:val="2"/>
          </w:tcPr>
          <w:p w:rsidR="005D7FF4" w:rsidRPr="00842984" w:rsidRDefault="005D7FF4" w:rsidP="009A513D">
            <w:pPr>
              <w:spacing w:before="100" w:beforeAutospacing="1" w:after="100" w:afterAutospacing="1"/>
            </w:pPr>
            <w:r>
              <w:t>85.3</w:t>
            </w:r>
          </w:p>
        </w:tc>
        <w:tc>
          <w:tcPr>
            <w:tcW w:w="1530" w:type="dxa"/>
          </w:tcPr>
          <w:p w:rsidR="005D7FF4" w:rsidRPr="00842984" w:rsidRDefault="005D7FF4" w:rsidP="009A513D">
            <w:pPr>
              <w:spacing w:before="100" w:beforeAutospacing="1" w:after="100" w:afterAutospacing="1"/>
            </w:pPr>
            <w:r>
              <w:t>75.5</w:t>
            </w:r>
          </w:p>
        </w:tc>
        <w:tc>
          <w:tcPr>
            <w:tcW w:w="1170" w:type="dxa"/>
          </w:tcPr>
          <w:p w:rsidR="005D7FF4" w:rsidRPr="00842984" w:rsidRDefault="005D7FF4" w:rsidP="009A513D">
            <w:pPr>
              <w:spacing w:before="100" w:beforeAutospacing="1" w:after="100" w:afterAutospacing="1"/>
            </w:pPr>
            <w:r>
              <w:t>86.6</w:t>
            </w:r>
          </w:p>
        </w:tc>
        <w:tc>
          <w:tcPr>
            <w:tcW w:w="977" w:type="dxa"/>
          </w:tcPr>
          <w:p w:rsidR="005D7FF4" w:rsidRPr="00842984" w:rsidRDefault="005D7FF4" w:rsidP="009A513D">
            <w:pPr>
              <w:spacing w:before="100" w:beforeAutospacing="1" w:after="100" w:afterAutospacing="1"/>
            </w:pPr>
            <w:r>
              <w:t>79.9</w:t>
            </w:r>
          </w:p>
        </w:tc>
        <w:tc>
          <w:tcPr>
            <w:tcW w:w="1201" w:type="dxa"/>
          </w:tcPr>
          <w:p w:rsidR="005D7FF4" w:rsidRPr="00842984" w:rsidRDefault="005D7FF4" w:rsidP="009A513D">
            <w:pPr>
              <w:spacing w:before="100" w:beforeAutospacing="1" w:after="100" w:afterAutospacing="1"/>
            </w:pPr>
            <w:r>
              <w:t>522.5</w:t>
            </w:r>
          </w:p>
        </w:tc>
      </w:tr>
      <w:tr w:rsidR="005D7FF4" w:rsidRPr="00842984" w:rsidTr="005D7FF4">
        <w:trPr>
          <w:trHeight w:val="586"/>
        </w:trPr>
        <w:tc>
          <w:tcPr>
            <w:tcW w:w="1548" w:type="dxa"/>
          </w:tcPr>
          <w:p w:rsidR="005D7FF4" w:rsidRDefault="005D7FF4" w:rsidP="009A513D">
            <w:pPr>
              <w:spacing w:before="100" w:beforeAutospacing="1" w:after="240"/>
            </w:pPr>
            <w:r w:rsidRPr="00842984">
              <w:t>2012</w:t>
            </w:r>
          </w:p>
          <w:p w:rsidR="005D7FF4" w:rsidRPr="00842984" w:rsidRDefault="005D7FF4" w:rsidP="009A513D">
            <w:pPr>
              <w:spacing w:before="100" w:beforeAutospacing="1" w:after="240"/>
            </w:pPr>
            <w:r>
              <w:t xml:space="preserve">11 candidates </w:t>
            </w:r>
          </w:p>
        </w:tc>
        <w:tc>
          <w:tcPr>
            <w:tcW w:w="1062" w:type="dxa"/>
          </w:tcPr>
          <w:p w:rsidR="005D7FF4" w:rsidRDefault="009E2B57" w:rsidP="009A513D">
            <w:pPr>
              <w:spacing w:before="100" w:beforeAutospacing="1" w:after="100" w:afterAutospacing="1"/>
            </w:pPr>
            <w:r>
              <w:t>177.5</w:t>
            </w:r>
          </w:p>
        </w:tc>
        <w:tc>
          <w:tcPr>
            <w:tcW w:w="1062" w:type="dxa"/>
          </w:tcPr>
          <w:p w:rsidR="005D7FF4" w:rsidRPr="00842984" w:rsidRDefault="005D7FF4" w:rsidP="009A513D">
            <w:pPr>
              <w:spacing w:before="100" w:beforeAutospacing="1" w:after="100" w:afterAutospacing="1"/>
            </w:pPr>
            <w:r>
              <w:t>78.2</w:t>
            </w:r>
          </w:p>
        </w:tc>
        <w:tc>
          <w:tcPr>
            <w:tcW w:w="1120" w:type="dxa"/>
          </w:tcPr>
          <w:p w:rsidR="005D7FF4" w:rsidRPr="00842984" w:rsidRDefault="005D7FF4" w:rsidP="009A513D">
            <w:pPr>
              <w:spacing w:before="100" w:beforeAutospacing="1" w:after="100" w:afterAutospacing="1"/>
            </w:pPr>
            <w:r>
              <w:t>73.5</w:t>
            </w:r>
          </w:p>
        </w:tc>
        <w:tc>
          <w:tcPr>
            <w:tcW w:w="968" w:type="dxa"/>
            <w:gridSpan w:val="2"/>
          </w:tcPr>
          <w:p w:rsidR="005D7FF4" w:rsidRPr="00842984" w:rsidRDefault="005D7FF4" w:rsidP="009A513D">
            <w:pPr>
              <w:spacing w:before="100" w:beforeAutospacing="1" w:after="100" w:afterAutospacing="1"/>
            </w:pPr>
            <w:r>
              <w:t>79.6</w:t>
            </w:r>
          </w:p>
        </w:tc>
        <w:tc>
          <w:tcPr>
            <w:tcW w:w="1530" w:type="dxa"/>
          </w:tcPr>
          <w:p w:rsidR="005D7FF4" w:rsidRPr="00842984" w:rsidRDefault="005D7FF4" w:rsidP="009A513D">
            <w:pPr>
              <w:spacing w:before="100" w:beforeAutospacing="1" w:after="100" w:afterAutospacing="1"/>
            </w:pPr>
            <w:r>
              <w:t>71.1</w:t>
            </w:r>
          </w:p>
        </w:tc>
        <w:tc>
          <w:tcPr>
            <w:tcW w:w="1170" w:type="dxa"/>
          </w:tcPr>
          <w:p w:rsidR="005D7FF4" w:rsidRPr="00842984" w:rsidRDefault="005D7FF4" w:rsidP="009A513D">
            <w:pPr>
              <w:spacing w:before="100" w:beforeAutospacing="1" w:after="100" w:afterAutospacing="1"/>
            </w:pPr>
            <w:r>
              <w:t>76.6</w:t>
            </w:r>
          </w:p>
        </w:tc>
        <w:tc>
          <w:tcPr>
            <w:tcW w:w="977" w:type="dxa"/>
          </w:tcPr>
          <w:p w:rsidR="005D7FF4" w:rsidRPr="00842984" w:rsidRDefault="005D7FF4" w:rsidP="009A513D">
            <w:pPr>
              <w:spacing w:before="100" w:beforeAutospacing="1" w:after="100" w:afterAutospacing="1"/>
            </w:pPr>
            <w:r>
              <w:t>79.9</w:t>
            </w:r>
          </w:p>
        </w:tc>
        <w:tc>
          <w:tcPr>
            <w:tcW w:w="1201" w:type="dxa"/>
          </w:tcPr>
          <w:p w:rsidR="005D7FF4" w:rsidRPr="00842984" w:rsidRDefault="005D7FF4" w:rsidP="009A513D">
            <w:pPr>
              <w:spacing w:before="100" w:beforeAutospacing="1" w:after="100" w:afterAutospacing="1"/>
            </w:pPr>
            <w:r>
              <w:t>519</w:t>
            </w:r>
          </w:p>
        </w:tc>
      </w:tr>
      <w:tr w:rsidR="00265562" w:rsidRPr="00842984" w:rsidTr="005D7FF4">
        <w:trPr>
          <w:trHeight w:val="586"/>
        </w:trPr>
        <w:tc>
          <w:tcPr>
            <w:tcW w:w="1548" w:type="dxa"/>
          </w:tcPr>
          <w:p w:rsidR="00265562" w:rsidRDefault="00265562" w:rsidP="009A513D">
            <w:pPr>
              <w:spacing w:before="100" w:beforeAutospacing="1" w:after="240"/>
            </w:pPr>
            <w:r>
              <w:t>2013</w:t>
            </w:r>
          </w:p>
          <w:p w:rsidR="00265562" w:rsidRPr="00842984" w:rsidRDefault="00265562" w:rsidP="009A513D">
            <w:pPr>
              <w:spacing w:before="100" w:beforeAutospacing="1" w:after="240"/>
            </w:pPr>
            <w:r>
              <w:t>7 candidates</w:t>
            </w:r>
          </w:p>
        </w:tc>
        <w:tc>
          <w:tcPr>
            <w:tcW w:w="1062" w:type="dxa"/>
          </w:tcPr>
          <w:p w:rsidR="00265562" w:rsidRDefault="00265562" w:rsidP="009A513D">
            <w:pPr>
              <w:spacing w:before="100" w:beforeAutospacing="1" w:after="100" w:afterAutospacing="1"/>
            </w:pPr>
            <w:r>
              <w:t>180.6</w:t>
            </w:r>
          </w:p>
        </w:tc>
        <w:tc>
          <w:tcPr>
            <w:tcW w:w="1062" w:type="dxa"/>
          </w:tcPr>
          <w:p w:rsidR="00265562" w:rsidRDefault="00265562" w:rsidP="009A513D">
            <w:pPr>
              <w:spacing w:before="100" w:beforeAutospacing="1" w:after="100" w:afterAutospacing="1"/>
            </w:pPr>
            <w:r>
              <w:t>80.4</w:t>
            </w:r>
          </w:p>
        </w:tc>
        <w:tc>
          <w:tcPr>
            <w:tcW w:w="1120" w:type="dxa"/>
          </w:tcPr>
          <w:p w:rsidR="00265562" w:rsidRDefault="00265562" w:rsidP="009A513D">
            <w:pPr>
              <w:spacing w:before="100" w:beforeAutospacing="1" w:after="100" w:afterAutospacing="1"/>
            </w:pPr>
            <w:r>
              <w:t>87.8</w:t>
            </w:r>
          </w:p>
        </w:tc>
        <w:tc>
          <w:tcPr>
            <w:tcW w:w="968" w:type="dxa"/>
            <w:gridSpan w:val="2"/>
          </w:tcPr>
          <w:p w:rsidR="00265562" w:rsidRDefault="00265562" w:rsidP="009A513D">
            <w:pPr>
              <w:spacing w:before="100" w:beforeAutospacing="1" w:after="100" w:afterAutospacing="1"/>
            </w:pPr>
            <w:r>
              <w:t>84.1</w:t>
            </w:r>
          </w:p>
        </w:tc>
        <w:tc>
          <w:tcPr>
            <w:tcW w:w="1530" w:type="dxa"/>
          </w:tcPr>
          <w:p w:rsidR="00265562" w:rsidRDefault="00265562" w:rsidP="009A513D">
            <w:pPr>
              <w:spacing w:before="100" w:beforeAutospacing="1" w:after="100" w:afterAutospacing="1"/>
            </w:pPr>
            <w:r>
              <w:t>83.5</w:t>
            </w:r>
          </w:p>
        </w:tc>
        <w:tc>
          <w:tcPr>
            <w:tcW w:w="1170" w:type="dxa"/>
          </w:tcPr>
          <w:p w:rsidR="00265562" w:rsidRDefault="00265562" w:rsidP="009A513D">
            <w:pPr>
              <w:spacing w:before="100" w:beforeAutospacing="1" w:after="100" w:afterAutospacing="1"/>
            </w:pPr>
            <w:r>
              <w:t>74.2</w:t>
            </w:r>
          </w:p>
        </w:tc>
        <w:tc>
          <w:tcPr>
            <w:tcW w:w="977" w:type="dxa"/>
          </w:tcPr>
          <w:p w:rsidR="00265562" w:rsidRDefault="00265562" w:rsidP="009A513D">
            <w:pPr>
              <w:spacing w:before="100" w:beforeAutospacing="1" w:after="100" w:afterAutospacing="1"/>
            </w:pPr>
            <w:r>
              <w:t>74.2</w:t>
            </w:r>
          </w:p>
        </w:tc>
        <w:tc>
          <w:tcPr>
            <w:tcW w:w="1201" w:type="dxa"/>
          </w:tcPr>
          <w:p w:rsidR="00265562" w:rsidRDefault="00265562" w:rsidP="009A513D">
            <w:pPr>
              <w:spacing w:before="100" w:beforeAutospacing="1" w:after="100" w:afterAutospacing="1"/>
            </w:pPr>
            <w:r>
              <w:t>521.4</w:t>
            </w:r>
          </w:p>
        </w:tc>
      </w:tr>
      <w:tr w:rsidR="005D7FF4" w:rsidRPr="00842984" w:rsidTr="005D7FF4">
        <w:trPr>
          <w:trHeight w:val="586"/>
        </w:trPr>
        <w:tc>
          <w:tcPr>
            <w:tcW w:w="1548" w:type="dxa"/>
          </w:tcPr>
          <w:p w:rsidR="005D7FF4" w:rsidRPr="00842984" w:rsidRDefault="005D7FF4" w:rsidP="009A513D">
            <w:pPr>
              <w:spacing w:before="100" w:beforeAutospacing="1" w:afterAutospacing="1"/>
            </w:pPr>
            <w:r>
              <w:t>Mean totals:</w:t>
            </w:r>
          </w:p>
        </w:tc>
        <w:tc>
          <w:tcPr>
            <w:tcW w:w="1062" w:type="dxa"/>
          </w:tcPr>
          <w:p w:rsidR="005D7FF4" w:rsidRDefault="005D7FF4" w:rsidP="009A513D">
            <w:pPr>
              <w:spacing w:before="100" w:beforeAutospacing="1" w:after="100" w:afterAutospacing="1"/>
            </w:pPr>
          </w:p>
        </w:tc>
        <w:tc>
          <w:tcPr>
            <w:tcW w:w="1062" w:type="dxa"/>
          </w:tcPr>
          <w:p w:rsidR="005D7FF4" w:rsidRPr="00842984" w:rsidRDefault="00265562" w:rsidP="009A513D">
            <w:pPr>
              <w:spacing w:before="100" w:beforeAutospacing="1" w:after="100" w:afterAutospacing="1"/>
            </w:pPr>
            <w:r>
              <w:t>82.1</w:t>
            </w:r>
          </w:p>
          <w:p w:rsidR="005D7FF4" w:rsidRPr="00842984" w:rsidRDefault="005D7FF4" w:rsidP="009A513D">
            <w:pPr>
              <w:spacing w:before="100" w:beforeAutospacing="1" w:afterAutospacing="1"/>
            </w:pPr>
          </w:p>
        </w:tc>
        <w:tc>
          <w:tcPr>
            <w:tcW w:w="1120" w:type="dxa"/>
          </w:tcPr>
          <w:p w:rsidR="005D7FF4" w:rsidRPr="00842984" w:rsidRDefault="00265562" w:rsidP="009A513D">
            <w:pPr>
              <w:spacing w:before="100" w:beforeAutospacing="1" w:after="100" w:afterAutospacing="1"/>
            </w:pPr>
            <w:r>
              <w:t>76.9</w:t>
            </w:r>
          </w:p>
          <w:p w:rsidR="005D7FF4" w:rsidRPr="00842984" w:rsidRDefault="005D7FF4" w:rsidP="009A513D">
            <w:pPr>
              <w:spacing w:before="100" w:beforeAutospacing="1" w:afterAutospacing="1"/>
            </w:pPr>
          </w:p>
        </w:tc>
        <w:tc>
          <w:tcPr>
            <w:tcW w:w="968" w:type="dxa"/>
            <w:gridSpan w:val="2"/>
          </w:tcPr>
          <w:p w:rsidR="005D7FF4" w:rsidRPr="00842984" w:rsidRDefault="00265562" w:rsidP="009A513D">
            <w:pPr>
              <w:spacing w:before="100" w:beforeAutospacing="1" w:after="100" w:afterAutospacing="1"/>
            </w:pPr>
            <w:r>
              <w:t>82.5</w:t>
            </w:r>
          </w:p>
          <w:p w:rsidR="005D7FF4" w:rsidRPr="00842984" w:rsidRDefault="005D7FF4" w:rsidP="009A513D">
            <w:pPr>
              <w:spacing w:before="100" w:beforeAutospacing="1" w:afterAutospacing="1"/>
            </w:pPr>
          </w:p>
        </w:tc>
        <w:tc>
          <w:tcPr>
            <w:tcW w:w="1530" w:type="dxa"/>
          </w:tcPr>
          <w:p w:rsidR="005D7FF4" w:rsidRPr="00842984" w:rsidRDefault="00265562" w:rsidP="009A513D">
            <w:pPr>
              <w:spacing w:before="100" w:beforeAutospacing="1" w:after="100" w:afterAutospacing="1"/>
            </w:pPr>
            <w:r>
              <w:t>78.5</w:t>
            </w:r>
          </w:p>
          <w:p w:rsidR="005D7FF4" w:rsidRPr="00842984" w:rsidRDefault="005D7FF4" w:rsidP="009A513D">
            <w:pPr>
              <w:spacing w:before="100" w:beforeAutospacing="1" w:afterAutospacing="1"/>
            </w:pPr>
          </w:p>
        </w:tc>
        <w:tc>
          <w:tcPr>
            <w:tcW w:w="1170" w:type="dxa"/>
          </w:tcPr>
          <w:p w:rsidR="005D7FF4" w:rsidRPr="00842984" w:rsidRDefault="003C6013" w:rsidP="009A513D">
            <w:pPr>
              <w:spacing w:before="100" w:beforeAutospacing="1" w:after="100" w:afterAutospacing="1"/>
            </w:pPr>
            <w:r>
              <w:t>81</w:t>
            </w:r>
          </w:p>
          <w:p w:rsidR="005D7FF4" w:rsidRPr="00842984" w:rsidRDefault="005D7FF4" w:rsidP="009A513D">
            <w:pPr>
              <w:spacing w:before="100" w:beforeAutospacing="1" w:afterAutospacing="1"/>
            </w:pPr>
          </w:p>
        </w:tc>
        <w:tc>
          <w:tcPr>
            <w:tcW w:w="977" w:type="dxa"/>
          </w:tcPr>
          <w:p w:rsidR="005D7FF4" w:rsidRPr="00842984" w:rsidRDefault="003C6013" w:rsidP="009A513D">
            <w:pPr>
              <w:spacing w:before="100" w:beforeAutospacing="1" w:after="100" w:afterAutospacing="1"/>
            </w:pPr>
            <w:r>
              <w:t>79.7</w:t>
            </w:r>
          </w:p>
          <w:p w:rsidR="005D7FF4" w:rsidRPr="00842984" w:rsidRDefault="005D7FF4" w:rsidP="009A513D">
            <w:pPr>
              <w:spacing w:before="100" w:beforeAutospacing="1" w:afterAutospacing="1"/>
            </w:pPr>
          </w:p>
        </w:tc>
        <w:tc>
          <w:tcPr>
            <w:tcW w:w="1201" w:type="dxa"/>
          </w:tcPr>
          <w:p w:rsidR="005D7FF4" w:rsidRPr="00842984" w:rsidRDefault="003C6013" w:rsidP="009A513D">
            <w:pPr>
              <w:spacing w:before="100" w:beforeAutospacing="1" w:after="100" w:afterAutospacing="1"/>
            </w:pPr>
            <w:r>
              <w:t>519.2</w:t>
            </w:r>
          </w:p>
          <w:p w:rsidR="005D7FF4" w:rsidRPr="00842984" w:rsidRDefault="005D7FF4" w:rsidP="009A513D">
            <w:pPr>
              <w:spacing w:before="100" w:beforeAutospacing="1" w:afterAutospacing="1"/>
            </w:pPr>
          </w:p>
        </w:tc>
      </w:tr>
      <w:tr w:rsidR="00E2327C" w:rsidRPr="00842984" w:rsidTr="005D7FF4">
        <w:trPr>
          <w:trHeight w:val="586"/>
        </w:trPr>
        <w:tc>
          <w:tcPr>
            <w:tcW w:w="1548" w:type="dxa"/>
          </w:tcPr>
          <w:p w:rsidR="00E2327C" w:rsidRPr="00E2327C" w:rsidRDefault="00E2327C" w:rsidP="009A513D">
            <w:pPr>
              <w:spacing w:before="100" w:beforeAutospacing="1" w:afterAutospacing="1"/>
              <w:rPr>
                <w:b/>
              </w:rPr>
            </w:pPr>
            <w:r w:rsidRPr="00850F7E">
              <w:rPr>
                <w:b/>
              </w:rPr>
              <w:t>Possible range for subtest</w:t>
            </w:r>
            <w:r w:rsidRPr="00E2327C">
              <w:rPr>
                <w:b/>
              </w:rPr>
              <w:t xml:space="preserve"> </w:t>
            </w:r>
          </w:p>
        </w:tc>
        <w:tc>
          <w:tcPr>
            <w:tcW w:w="1062" w:type="dxa"/>
          </w:tcPr>
          <w:p w:rsidR="00E2327C" w:rsidRDefault="007005D7" w:rsidP="009A513D">
            <w:pPr>
              <w:spacing w:before="100" w:beforeAutospacing="1" w:after="100" w:afterAutospacing="1"/>
            </w:pPr>
            <w:r>
              <w:t>100-200</w:t>
            </w:r>
          </w:p>
        </w:tc>
        <w:tc>
          <w:tcPr>
            <w:tcW w:w="1062" w:type="dxa"/>
          </w:tcPr>
          <w:p w:rsidR="00E2327C" w:rsidRDefault="00E2327C" w:rsidP="009A513D">
            <w:pPr>
              <w:spacing w:before="100" w:beforeAutospacing="1" w:after="100" w:afterAutospacing="1"/>
            </w:pPr>
          </w:p>
        </w:tc>
        <w:tc>
          <w:tcPr>
            <w:tcW w:w="1120" w:type="dxa"/>
          </w:tcPr>
          <w:p w:rsidR="00E2327C" w:rsidRDefault="00E2327C" w:rsidP="009A513D">
            <w:pPr>
              <w:spacing w:before="100" w:beforeAutospacing="1" w:after="100" w:afterAutospacing="1"/>
            </w:pPr>
          </w:p>
        </w:tc>
        <w:tc>
          <w:tcPr>
            <w:tcW w:w="968" w:type="dxa"/>
            <w:gridSpan w:val="2"/>
          </w:tcPr>
          <w:p w:rsidR="00E2327C" w:rsidRDefault="00E2327C" w:rsidP="009A513D">
            <w:pPr>
              <w:spacing w:before="100" w:beforeAutospacing="1" w:after="100" w:afterAutospacing="1"/>
            </w:pPr>
          </w:p>
        </w:tc>
        <w:tc>
          <w:tcPr>
            <w:tcW w:w="1530" w:type="dxa"/>
          </w:tcPr>
          <w:p w:rsidR="00E2327C" w:rsidRDefault="00E2327C" w:rsidP="009A513D">
            <w:pPr>
              <w:spacing w:before="100" w:beforeAutospacing="1" w:after="100" w:afterAutospacing="1"/>
            </w:pPr>
          </w:p>
        </w:tc>
        <w:tc>
          <w:tcPr>
            <w:tcW w:w="1170" w:type="dxa"/>
          </w:tcPr>
          <w:p w:rsidR="00E2327C" w:rsidRDefault="00E2327C" w:rsidP="009A513D">
            <w:pPr>
              <w:spacing w:before="100" w:beforeAutospacing="1" w:after="100" w:afterAutospacing="1"/>
            </w:pPr>
          </w:p>
        </w:tc>
        <w:tc>
          <w:tcPr>
            <w:tcW w:w="977" w:type="dxa"/>
          </w:tcPr>
          <w:p w:rsidR="00E2327C" w:rsidRDefault="00E2327C" w:rsidP="009A513D">
            <w:pPr>
              <w:spacing w:before="100" w:beforeAutospacing="1" w:after="100" w:afterAutospacing="1"/>
            </w:pPr>
          </w:p>
        </w:tc>
        <w:tc>
          <w:tcPr>
            <w:tcW w:w="1201" w:type="dxa"/>
          </w:tcPr>
          <w:p w:rsidR="00E2327C" w:rsidRDefault="00E2327C" w:rsidP="009A513D">
            <w:pPr>
              <w:spacing w:before="100" w:beforeAutospacing="1" w:after="100" w:afterAutospacing="1"/>
            </w:pPr>
            <w:r>
              <w:t>250-990</w:t>
            </w:r>
          </w:p>
        </w:tc>
      </w:tr>
    </w:tbl>
    <w:p w:rsidR="006277D9" w:rsidRDefault="006277D9"/>
    <w:p w:rsidR="005D7FF4" w:rsidRDefault="005D7FF4">
      <w:r w:rsidRPr="00750586">
        <w:rPr>
          <w:b/>
        </w:rPr>
        <w:t>5031-Elementary Education Multiple Subjects Test</w:t>
      </w:r>
      <w:r w:rsidR="00FE42A2">
        <w:t xml:space="preserve"> </w:t>
      </w:r>
    </w:p>
    <w:p w:rsidR="005D7FF4" w:rsidRDefault="005D7FF4"/>
    <w:tbl>
      <w:tblPr>
        <w:tblStyle w:val="TableGrid"/>
        <w:tblW w:w="0" w:type="auto"/>
        <w:tblLook w:val="04A0" w:firstRow="1" w:lastRow="0" w:firstColumn="1" w:lastColumn="0" w:noHBand="0" w:noVBand="1"/>
      </w:tblPr>
      <w:tblGrid>
        <w:gridCol w:w="1523"/>
        <w:gridCol w:w="1429"/>
        <w:gridCol w:w="1264"/>
        <w:gridCol w:w="1396"/>
        <w:gridCol w:w="1235"/>
      </w:tblGrid>
      <w:tr w:rsidR="00324AC3" w:rsidTr="00324AC3">
        <w:tc>
          <w:tcPr>
            <w:tcW w:w="1523" w:type="dxa"/>
          </w:tcPr>
          <w:p w:rsidR="00324AC3" w:rsidRDefault="00324AC3">
            <w:r>
              <w:t>Cohort</w:t>
            </w:r>
          </w:p>
        </w:tc>
        <w:tc>
          <w:tcPr>
            <w:tcW w:w="1429" w:type="dxa"/>
          </w:tcPr>
          <w:p w:rsidR="00324AC3" w:rsidRDefault="00324AC3">
            <w:r>
              <w:t>Reading (5032)</w:t>
            </w:r>
          </w:p>
        </w:tc>
        <w:tc>
          <w:tcPr>
            <w:tcW w:w="1264" w:type="dxa"/>
          </w:tcPr>
          <w:p w:rsidR="00011B44" w:rsidRDefault="00324AC3">
            <w:r>
              <w:t xml:space="preserve">Math </w:t>
            </w:r>
          </w:p>
          <w:p w:rsidR="00324AC3" w:rsidRDefault="00324AC3">
            <w:r>
              <w:t>(5033</w:t>
            </w:r>
            <w:r w:rsidR="00011B44">
              <w:t>)</w:t>
            </w:r>
          </w:p>
        </w:tc>
        <w:tc>
          <w:tcPr>
            <w:tcW w:w="1396" w:type="dxa"/>
          </w:tcPr>
          <w:p w:rsidR="00324AC3" w:rsidRDefault="00324AC3">
            <w:r>
              <w:t>Social Studies (5034)</w:t>
            </w:r>
          </w:p>
        </w:tc>
        <w:tc>
          <w:tcPr>
            <w:tcW w:w="1235" w:type="dxa"/>
          </w:tcPr>
          <w:p w:rsidR="00324AC3" w:rsidRDefault="00324AC3">
            <w:r>
              <w:t>Science (5035)</w:t>
            </w:r>
          </w:p>
        </w:tc>
      </w:tr>
      <w:tr w:rsidR="00324AC3" w:rsidTr="00324AC3">
        <w:tc>
          <w:tcPr>
            <w:tcW w:w="1523" w:type="dxa"/>
          </w:tcPr>
          <w:p w:rsidR="00324AC3" w:rsidRDefault="00324AC3">
            <w:r>
              <w:t>Passing Score</w:t>
            </w:r>
          </w:p>
        </w:tc>
        <w:tc>
          <w:tcPr>
            <w:tcW w:w="1429" w:type="dxa"/>
          </w:tcPr>
          <w:p w:rsidR="00324AC3" w:rsidRDefault="00324AC3">
            <w:r>
              <w:t>165</w:t>
            </w:r>
          </w:p>
        </w:tc>
        <w:tc>
          <w:tcPr>
            <w:tcW w:w="1264" w:type="dxa"/>
          </w:tcPr>
          <w:p w:rsidR="00324AC3" w:rsidRDefault="00324AC3">
            <w:r>
              <w:t>164</w:t>
            </w:r>
          </w:p>
        </w:tc>
        <w:tc>
          <w:tcPr>
            <w:tcW w:w="1396" w:type="dxa"/>
          </w:tcPr>
          <w:p w:rsidR="00324AC3" w:rsidRDefault="00324AC3">
            <w:r>
              <w:t>155</w:t>
            </w:r>
          </w:p>
        </w:tc>
        <w:tc>
          <w:tcPr>
            <w:tcW w:w="1235" w:type="dxa"/>
          </w:tcPr>
          <w:p w:rsidR="00324AC3" w:rsidRDefault="00324AC3">
            <w:r>
              <w:t>159</w:t>
            </w:r>
          </w:p>
        </w:tc>
      </w:tr>
      <w:tr w:rsidR="00324AC3" w:rsidTr="00324AC3">
        <w:tc>
          <w:tcPr>
            <w:tcW w:w="1523" w:type="dxa"/>
          </w:tcPr>
          <w:p w:rsidR="00324AC3" w:rsidRDefault="00324AC3">
            <w:r>
              <w:t xml:space="preserve">2012  Mean </w:t>
            </w:r>
          </w:p>
          <w:p w:rsidR="00324AC3" w:rsidRDefault="00643D8C">
            <w:r>
              <w:t>5</w:t>
            </w:r>
            <w:r w:rsidR="00324AC3">
              <w:t xml:space="preserve"> candidates</w:t>
            </w:r>
          </w:p>
        </w:tc>
        <w:tc>
          <w:tcPr>
            <w:tcW w:w="1429" w:type="dxa"/>
          </w:tcPr>
          <w:p w:rsidR="00324AC3" w:rsidRDefault="00324AC3">
            <w:r>
              <w:t>170.4</w:t>
            </w:r>
          </w:p>
        </w:tc>
        <w:tc>
          <w:tcPr>
            <w:tcW w:w="1264" w:type="dxa"/>
          </w:tcPr>
          <w:p w:rsidR="00324AC3" w:rsidRDefault="00324AC3">
            <w:r>
              <w:t>17</w:t>
            </w:r>
            <w:r w:rsidR="00643D8C">
              <w:t>5.8</w:t>
            </w:r>
          </w:p>
        </w:tc>
        <w:tc>
          <w:tcPr>
            <w:tcW w:w="1396" w:type="dxa"/>
          </w:tcPr>
          <w:p w:rsidR="00324AC3" w:rsidRDefault="00324AC3">
            <w:r>
              <w:t>16</w:t>
            </w:r>
            <w:r w:rsidR="00643D8C">
              <w:t>3.8</w:t>
            </w:r>
          </w:p>
        </w:tc>
        <w:tc>
          <w:tcPr>
            <w:tcW w:w="1235" w:type="dxa"/>
          </w:tcPr>
          <w:p w:rsidR="00324AC3" w:rsidRDefault="00324AC3">
            <w:r>
              <w:t>1</w:t>
            </w:r>
            <w:r w:rsidR="00643D8C">
              <w:t>71.8</w:t>
            </w:r>
          </w:p>
        </w:tc>
      </w:tr>
      <w:tr w:rsidR="00324AC3" w:rsidTr="00324AC3">
        <w:tc>
          <w:tcPr>
            <w:tcW w:w="1523" w:type="dxa"/>
          </w:tcPr>
          <w:p w:rsidR="00324AC3" w:rsidRDefault="00324AC3">
            <w:r>
              <w:t>2013-Mean</w:t>
            </w:r>
          </w:p>
          <w:p w:rsidR="00324AC3" w:rsidRDefault="00324AC3">
            <w:r>
              <w:t>7 candidates</w:t>
            </w:r>
          </w:p>
        </w:tc>
        <w:tc>
          <w:tcPr>
            <w:tcW w:w="1429" w:type="dxa"/>
          </w:tcPr>
          <w:p w:rsidR="00324AC3" w:rsidRDefault="00324AC3">
            <w:r>
              <w:t>184</w:t>
            </w:r>
            <w:r w:rsidR="00011B44">
              <w:t>.4</w:t>
            </w:r>
          </w:p>
        </w:tc>
        <w:tc>
          <w:tcPr>
            <w:tcW w:w="1264" w:type="dxa"/>
          </w:tcPr>
          <w:p w:rsidR="00324AC3" w:rsidRDefault="00324AC3">
            <w:r>
              <w:t>17</w:t>
            </w:r>
            <w:r w:rsidR="00011B44">
              <w:t>7.6</w:t>
            </w:r>
          </w:p>
        </w:tc>
        <w:tc>
          <w:tcPr>
            <w:tcW w:w="1396" w:type="dxa"/>
          </w:tcPr>
          <w:p w:rsidR="00324AC3" w:rsidRDefault="00324AC3">
            <w:r>
              <w:t>1</w:t>
            </w:r>
            <w:r w:rsidR="00011B44">
              <w:t>70.1</w:t>
            </w:r>
          </w:p>
        </w:tc>
        <w:tc>
          <w:tcPr>
            <w:tcW w:w="1235" w:type="dxa"/>
          </w:tcPr>
          <w:p w:rsidR="00324AC3" w:rsidRDefault="00324AC3">
            <w:r>
              <w:t>16</w:t>
            </w:r>
            <w:r w:rsidR="00011B44">
              <w:t>8.3</w:t>
            </w:r>
          </w:p>
        </w:tc>
      </w:tr>
      <w:tr w:rsidR="00324AC3" w:rsidTr="00324AC3">
        <w:tc>
          <w:tcPr>
            <w:tcW w:w="1523" w:type="dxa"/>
          </w:tcPr>
          <w:p w:rsidR="00324AC3" w:rsidRDefault="00324AC3">
            <w:r>
              <w:t>2014-Mean</w:t>
            </w:r>
          </w:p>
          <w:p w:rsidR="00324AC3" w:rsidRDefault="00324AC3">
            <w:r>
              <w:t>1 candidate-(TR)</w:t>
            </w:r>
          </w:p>
        </w:tc>
        <w:tc>
          <w:tcPr>
            <w:tcW w:w="1429" w:type="dxa"/>
          </w:tcPr>
          <w:p w:rsidR="00324AC3" w:rsidRDefault="00324AC3">
            <w:r>
              <w:t>181</w:t>
            </w:r>
          </w:p>
        </w:tc>
        <w:tc>
          <w:tcPr>
            <w:tcW w:w="1264" w:type="dxa"/>
          </w:tcPr>
          <w:p w:rsidR="00324AC3" w:rsidRDefault="00324AC3">
            <w:r>
              <w:t>168</w:t>
            </w:r>
          </w:p>
        </w:tc>
        <w:tc>
          <w:tcPr>
            <w:tcW w:w="1396" w:type="dxa"/>
          </w:tcPr>
          <w:p w:rsidR="00324AC3" w:rsidRDefault="00324AC3">
            <w:r>
              <w:t>166</w:t>
            </w:r>
          </w:p>
        </w:tc>
        <w:tc>
          <w:tcPr>
            <w:tcW w:w="1235" w:type="dxa"/>
          </w:tcPr>
          <w:p w:rsidR="00324AC3" w:rsidRDefault="00324AC3">
            <w:r>
              <w:t>164</w:t>
            </w:r>
          </w:p>
        </w:tc>
      </w:tr>
      <w:tr w:rsidR="00324AC3" w:rsidTr="00324AC3">
        <w:tc>
          <w:tcPr>
            <w:tcW w:w="1523" w:type="dxa"/>
          </w:tcPr>
          <w:p w:rsidR="00324AC3" w:rsidRDefault="00324AC3">
            <w:r>
              <w:t>Range</w:t>
            </w:r>
          </w:p>
        </w:tc>
        <w:tc>
          <w:tcPr>
            <w:tcW w:w="1429" w:type="dxa"/>
          </w:tcPr>
          <w:p w:rsidR="00324AC3" w:rsidRDefault="00324AC3">
            <w:r>
              <w:t>100-200</w:t>
            </w:r>
          </w:p>
        </w:tc>
        <w:tc>
          <w:tcPr>
            <w:tcW w:w="1264" w:type="dxa"/>
          </w:tcPr>
          <w:p w:rsidR="00324AC3" w:rsidRDefault="00324AC3">
            <w:r>
              <w:t>100-200</w:t>
            </w:r>
          </w:p>
        </w:tc>
        <w:tc>
          <w:tcPr>
            <w:tcW w:w="1396" w:type="dxa"/>
          </w:tcPr>
          <w:p w:rsidR="00324AC3" w:rsidRDefault="00324AC3">
            <w:r>
              <w:t>100-200</w:t>
            </w:r>
          </w:p>
        </w:tc>
        <w:tc>
          <w:tcPr>
            <w:tcW w:w="1235" w:type="dxa"/>
          </w:tcPr>
          <w:p w:rsidR="00324AC3" w:rsidRDefault="00324AC3">
            <w:r>
              <w:t>100-200</w:t>
            </w:r>
          </w:p>
        </w:tc>
      </w:tr>
    </w:tbl>
    <w:p w:rsidR="005D7FF4" w:rsidRDefault="005D7FF4"/>
    <w:p w:rsidR="00040D79" w:rsidRDefault="00040D79"/>
    <w:p w:rsidR="001F61FC" w:rsidRDefault="001F61FC"/>
    <w:p w:rsidR="001F61FC" w:rsidRDefault="001F61FC"/>
    <w:p w:rsidR="006A6373" w:rsidRDefault="00040D79">
      <w:r>
        <w:lastRenderedPageBreak/>
        <w:t>Summary of Elementary Praxis II scores</w:t>
      </w:r>
    </w:p>
    <w:p w:rsidR="00040D79" w:rsidRDefault="00040D79">
      <w:r>
        <w:t>2011-2013</w:t>
      </w:r>
    </w:p>
    <w:tbl>
      <w:tblPr>
        <w:tblStyle w:val="TableGrid"/>
        <w:tblW w:w="0" w:type="auto"/>
        <w:tblLook w:val="04A0" w:firstRow="1" w:lastRow="0" w:firstColumn="1" w:lastColumn="0" w:noHBand="0" w:noVBand="1"/>
      </w:tblPr>
      <w:tblGrid>
        <w:gridCol w:w="2394"/>
        <w:gridCol w:w="2394"/>
        <w:gridCol w:w="2394"/>
        <w:gridCol w:w="2394"/>
      </w:tblGrid>
      <w:tr w:rsidR="00040D79" w:rsidTr="00040D79">
        <w:tc>
          <w:tcPr>
            <w:tcW w:w="2394" w:type="dxa"/>
          </w:tcPr>
          <w:p w:rsidR="00040D79" w:rsidRDefault="00040D79">
            <w:r>
              <w:t>Cohort</w:t>
            </w:r>
          </w:p>
        </w:tc>
        <w:tc>
          <w:tcPr>
            <w:tcW w:w="2394" w:type="dxa"/>
          </w:tcPr>
          <w:p w:rsidR="00040D79" w:rsidRDefault="00040D79">
            <w:r>
              <w:t>Number of students</w:t>
            </w:r>
            <w:r w:rsidR="001F61FC">
              <w:t xml:space="preserve"> taking Praxis II</w:t>
            </w:r>
          </w:p>
        </w:tc>
        <w:tc>
          <w:tcPr>
            <w:tcW w:w="2394" w:type="dxa"/>
          </w:tcPr>
          <w:p w:rsidR="00040D79" w:rsidRDefault="00040D79">
            <w:r>
              <w:t>% passed</w:t>
            </w:r>
          </w:p>
        </w:tc>
        <w:tc>
          <w:tcPr>
            <w:tcW w:w="2394" w:type="dxa"/>
          </w:tcPr>
          <w:p w:rsidR="00040D79" w:rsidRDefault="00040D79">
            <w:r>
              <w:t>Notes</w:t>
            </w:r>
          </w:p>
        </w:tc>
      </w:tr>
      <w:tr w:rsidR="00040D79" w:rsidTr="00040D79">
        <w:tc>
          <w:tcPr>
            <w:tcW w:w="2394" w:type="dxa"/>
          </w:tcPr>
          <w:p w:rsidR="00040D79" w:rsidRDefault="00040D79">
            <w:r>
              <w:t>2011</w:t>
            </w:r>
          </w:p>
        </w:tc>
        <w:tc>
          <w:tcPr>
            <w:tcW w:w="2394" w:type="dxa"/>
          </w:tcPr>
          <w:p w:rsidR="00040D79" w:rsidRDefault="00040D79">
            <w:r>
              <w:t>12</w:t>
            </w:r>
          </w:p>
        </w:tc>
        <w:tc>
          <w:tcPr>
            <w:tcW w:w="2394" w:type="dxa"/>
          </w:tcPr>
          <w:p w:rsidR="00040D79" w:rsidRDefault="001F61FC">
            <w:r>
              <w:t xml:space="preserve">11/12=          91.7%         </w:t>
            </w:r>
          </w:p>
        </w:tc>
        <w:tc>
          <w:tcPr>
            <w:tcW w:w="2394" w:type="dxa"/>
          </w:tcPr>
          <w:p w:rsidR="00040D79" w:rsidRDefault="001F61FC">
            <w:r>
              <w:t>One candidate passed Praxis II in 2012</w:t>
            </w:r>
          </w:p>
        </w:tc>
      </w:tr>
      <w:tr w:rsidR="00040D79" w:rsidTr="00040D79">
        <w:tc>
          <w:tcPr>
            <w:tcW w:w="2394" w:type="dxa"/>
          </w:tcPr>
          <w:p w:rsidR="00040D79" w:rsidRDefault="00040D79">
            <w:r>
              <w:t>2012</w:t>
            </w:r>
          </w:p>
        </w:tc>
        <w:tc>
          <w:tcPr>
            <w:tcW w:w="2394" w:type="dxa"/>
          </w:tcPr>
          <w:p w:rsidR="00040D79" w:rsidRDefault="00040D79">
            <w:r>
              <w:t>1</w:t>
            </w:r>
            <w:r w:rsidR="001F61FC">
              <w:t>5</w:t>
            </w:r>
          </w:p>
        </w:tc>
        <w:tc>
          <w:tcPr>
            <w:tcW w:w="2394" w:type="dxa"/>
          </w:tcPr>
          <w:p w:rsidR="00040D79" w:rsidRDefault="00040D79">
            <w:r>
              <w:t>1</w:t>
            </w:r>
            <w:r w:rsidR="001F61FC">
              <w:t>5/15=         100%</w:t>
            </w:r>
          </w:p>
        </w:tc>
        <w:tc>
          <w:tcPr>
            <w:tcW w:w="2394" w:type="dxa"/>
          </w:tcPr>
          <w:p w:rsidR="00040D79" w:rsidRDefault="00040D79"/>
        </w:tc>
      </w:tr>
      <w:tr w:rsidR="00040D79" w:rsidTr="00040D79">
        <w:tc>
          <w:tcPr>
            <w:tcW w:w="2394" w:type="dxa"/>
          </w:tcPr>
          <w:p w:rsidR="00040D79" w:rsidRDefault="00040D79">
            <w:r>
              <w:t xml:space="preserve">2013 </w:t>
            </w:r>
          </w:p>
        </w:tc>
        <w:tc>
          <w:tcPr>
            <w:tcW w:w="2394" w:type="dxa"/>
          </w:tcPr>
          <w:p w:rsidR="00040D79" w:rsidRDefault="001F61FC">
            <w:r>
              <w:t>15</w:t>
            </w:r>
          </w:p>
        </w:tc>
        <w:tc>
          <w:tcPr>
            <w:tcW w:w="2394" w:type="dxa"/>
          </w:tcPr>
          <w:p w:rsidR="00040D79" w:rsidRDefault="001F61FC">
            <w:r>
              <w:t>10/15=          66.6%</w:t>
            </w:r>
          </w:p>
        </w:tc>
        <w:tc>
          <w:tcPr>
            <w:tcW w:w="2394" w:type="dxa"/>
          </w:tcPr>
          <w:p w:rsidR="00040D79" w:rsidRDefault="001F61FC">
            <w:r>
              <w:t>One candidate passed Praxis II in 2014</w:t>
            </w:r>
          </w:p>
          <w:p w:rsidR="001F61FC" w:rsidRDefault="001F61FC">
            <w:r>
              <w:t>*see note below</w:t>
            </w:r>
          </w:p>
        </w:tc>
      </w:tr>
    </w:tbl>
    <w:p w:rsidR="006A6373" w:rsidRDefault="006A6373"/>
    <w:p w:rsidR="001F61FC" w:rsidRDefault="001F61FC" w:rsidP="001F61FC">
      <w:r>
        <w:t xml:space="preserve">NOTE: for the 2013 cohort, two candidates have not taken the exam (EH, KP), two candidates have not passed (AM, MG) and one passed in 2014 (TR). One candidate passed both exams, so data is contained for both (VH). One candidate (SK) completed course requirements in 2011, but passed the praxis exam in 2012, so praxis data was updated with this data.  </w:t>
      </w:r>
    </w:p>
    <w:p w:rsidR="006A6373" w:rsidRDefault="006A6373"/>
    <w:p w:rsidR="006A6373" w:rsidRDefault="005C794C">
      <w:r>
        <w:t>Testing Requirements:</w:t>
      </w:r>
    </w:p>
    <w:p w:rsidR="00850F7E" w:rsidRDefault="00750586">
      <w:r>
        <w:t>Prior to 2012</w:t>
      </w:r>
      <w:proofErr w:type="gramStart"/>
      <w:r>
        <w:t>,</w:t>
      </w:r>
      <w:r w:rsidR="00AF23D3">
        <w:t>,</w:t>
      </w:r>
      <w:proofErr w:type="gramEnd"/>
      <w:r w:rsidR="00AF23D3">
        <w:t xml:space="preserve"> Indiana required 5011 or 0011 the Elementary Education Generalist Exam along with 0300 the Reading S</w:t>
      </w:r>
      <w:r>
        <w:t>pecialist Exam for the Praxis II for certification</w:t>
      </w:r>
      <w:r w:rsidR="00AF23D3">
        <w:t xml:space="preserve">.  </w:t>
      </w:r>
      <w:r w:rsidR="00E01C38">
        <w:t>An overall passing cutoff score of 165 is listed for the exam 5011 and not for individual subtests; ranges of 100-200 are listed for each subtest. The passing score for 0300 is</w:t>
      </w:r>
      <w:r w:rsidR="005D7FF4">
        <w:t xml:space="preserve"> 370</w:t>
      </w:r>
      <w:r w:rsidR="00AF23D3">
        <w:t xml:space="preserve">.  For the 5011/0011 Praxis, the raw scores were converted into a percentage score, so cohort subtests could be compared. </w:t>
      </w:r>
      <w:r w:rsidR="00850F7E">
        <w:t>Each subtest contained a different number of questions varying from student to student and from cohort to cohort (reading questions range from 35-38; math from 21-24; science from 11-12 and social studies 11-12 questions). For the 2012</w:t>
      </w:r>
      <w:r w:rsidR="00071056">
        <w:t xml:space="preserve"> and 2013</w:t>
      </w:r>
      <w:r w:rsidR="00850F7E">
        <w:t xml:space="preserve"> cohort</w:t>
      </w:r>
      <w:r w:rsidR="00071056">
        <w:t>s</w:t>
      </w:r>
      <w:r w:rsidR="00850F7E">
        <w:t xml:space="preserve">, some flexibility was given for the Praxis II requirement.  Candidates could take either 5011/0011 and 0300 or 5031 the Multiple Subjects test for Elementary Education. </w:t>
      </w:r>
      <w:r w:rsidR="00071056">
        <w:t>In 2012, e</w:t>
      </w:r>
      <w:r w:rsidR="00850F7E">
        <w:t>leven students elected to</w:t>
      </w:r>
      <w:r w:rsidR="00643D8C">
        <w:t xml:space="preserve"> take the existing exam and five</w:t>
      </w:r>
      <w:r w:rsidR="00850F7E">
        <w:t xml:space="preserve"> students took the new multiple subjects test</w:t>
      </w:r>
      <w:r w:rsidR="00071056">
        <w:t xml:space="preserve">; in 2013, seven candidates elected to take 5011 and seven selected the multiple subjects test. </w:t>
      </w:r>
      <w:r w:rsidR="001F61FC">
        <w:t xml:space="preserve">Starting in February 2014, candidates </w:t>
      </w:r>
      <w:r w:rsidR="00040D79">
        <w:t>will be asked to take the Pearson CORE exam consisting of a cont</w:t>
      </w:r>
      <w:r w:rsidR="001F61FC">
        <w:t xml:space="preserve">ent test and a pedagogy test. </w:t>
      </w:r>
      <w:r w:rsidR="00040D79">
        <w:t xml:space="preserve">  </w:t>
      </w:r>
    </w:p>
    <w:p w:rsidR="00AF23D3" w:rsidRDefault="00AF23D3">
      <w:r>
        <w:t>The means for al</w:t>
      </w:r>
      <w:r w:rsidR="001A59FA">
        <w:t xml:space="preserve">l three cohorts and the 5031 scores are in the last box of the table. </w:t>
      </w:r>
    </w:p>
    <w:p w:rsidR="00040D79" w:rsidRDefault="00040D79"/>
    <w:p w:rsidR="00AF23D3" w:rsidRDefault="001A59FA">
      <w:r>
        <w:t>Data</w:t>
      </w:r>
      <w:r w:rsidR="005C794C">
        <w:t xml:space="preserve"> Analysis</w:t>
      </w:r>
      <w:r>
        <w:t xml:space="preserve">: </w:t>
      </w:r>
      <w:r w:rsidR="00750586">
        <w:t xml:space="preserve">Overall, mean scores for the last three cohorts indicate a solid knowledge of the ACEI content standards.  </w:t>
      </w:r>
      <w:r w:rsidR="00507855">
        <w:t>While each cohort differs in content area strengths and weaknesses, no patterns were noticed with repeated</w:t>
      </w:r>
      <w:r w:rsidR="005D4056">
        <w:t xml:space="preserve"> strengths and/or weaknesses; math scores were fairly stable between the </w:t>
      </w:r>
      <w:r w:rsidR="00A636A1">
        <w:t>2012 and 2013 cohorts.</w:t>
      </w:r>
      <w:r w:rsidR="00507855">
        <w:t xml:space="preserve">  With the changes in the state required Praxis II testing requirement, it is difficult to compare scores between the content area subtests in the two exams.  One noticeable increase was seen in subtest 5032-Reading between the 2012 and 2013 cohorts.  The 2013 cohort experienced the revised Senior Seminar course (Advanced Reading Methods) with a greater emphasis on reading strategies, so it is hoped that this course can be associated with the increase in the reading score. </w:t>
      </w:r>
    </w:p>
    <w:sectPr w:rsidR="00AF23D3" w:rsidSect="0062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5310"/>
    <w:rsid w:val="00011B44"/>
    <w:rsid w:val="00040D79"/>
    <w:rsid w:val="00071056"/>
    <w:rsid w:val="001567B8"/>
    <w:rsid w:val="001A59FA"/>
    <w:rsid w:val="001E1C7B"/>
    <w:rsid w:val="001F61FC"/>
    <w:rsid w:val="00236381"/>
    <w:rsid w:val="00265562"/>
    <w:rsid w:val="002A0F00"/>
    <w:rsid w:val="00324AC3"/>
    <w:rsid w:val="003C6013"/>
    <w:rsid w:val="003F0726"/>
    <w:rsid w:val="004B4F3E"/>
    <w:rsid w:val="004D4097"/>
    <w:rsid w:val="004F04F5"/>
    <w:rsid w:val="005014D2"/>
    <w:rsid w:val="00507855"/>
    <w:rsid w:val="005C794C"/>
    <w:rsid w:val="005D4056"/>
    <w:rsid w:val="005D5F4E"/>
    <w:rsid w:val="005D7FF4"/>
    <w:rsid w:val="006277D9"/>
    <w:rsid w:val="00643D8C"/>
    <w:rsid w:val="006A6373"/>
    <w:rsid w:val="007005D7"/>
    <w:rsid w:val="007329F2"/>
    <w:rsid w:val="00750586"/>
    <w:rsid w:val="007A6B7D"/>
    <w:rsid w:val="00850F7E"/>
    <w:rsid w:val="00926C4E"/>
    <w:rsid w:val="009E2B57"/>
    <w:rsid w:val="00A11564"/>
    <w:rsid w:val="00A636A1"/>
    <w:rsid w:val="00A6794D"/>
    <w:rsid w:val="00AE2A00"/>
    <w:rsid w:val="00AF23D3"/>
    <w:rsid w:val="00B35310"/>
    <w:rsid w:val="00C812EA"/>
    <w:rsid w:val="00CC06DA"/>
    <w:rsid w:val="00DB1308"/>
    <w:rsid w:val="00E01C38"/>
    <w:rsid w:val="00E2327C"/>
    <w:rsid w:val="00E62028"/>
    <w:rsid w:val="00F4549C"/>
    <w:rsid w:val="00F70524"/>
    <w:rsid w:val="00F9308C"/>
    <w:rsid w:val="00F9496C"/>
    <w:rsid w:val="00FE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0"/>
    <w:pPr>
      <w:overflowPunct w:val="0"/>
      <w:autoSpaceDE w:val="0"/>
      <w:autoSpaceDN w:val="0"/>
      <w:adjustRightInd w:val="0"/>
      <w:spacing w:after="0" w:line="240" w:lineRule="auto"/>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Williams, Kay</cp:lastModifiedBy>
  <cp:revision>2</cp:revision>
  <cp:lastPrinted>2014-02-19T15:56:00Z</cp:lastPrinted>
  <dcterms:created xsi:type="dcterms:W3CDTF">2014-02-25T20:43:00Z</dcterms:created>
  <dcterms:modified xsi:type="dcterms:W3CDTF">2014-02-25T20:43:00Z</dcterms:modified>
</cp:coreProperties>
</file>