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BF" w:rsidRDefault="005E13C6">
      <w:pPr>
        <w:rPr>
          <w:b/>
        </w:rPr>
      </w:pPr>
      <w:r>
        <w:rPr>
          <w:b/>
        </w:rPr>
        <w:t>Table 2:  Initial Teacher Preparation Programs and Their Review Status (February, 2014)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264"/>
        <w:gridCol w:w="1184"/>
        <w:gridCol w:w="1214"/>
        <w:gridCol w:w="449"/>
        <w:gridCol w:w="677"/>
        <w:gridCol w:w="1530"/>
        <w:gridCol w:w="1260"/>
        <w:gridCol w:w="1080"/>
        <w:gridCol w:w="1350"/>
      </w:tblGrid>
      <w:tr w:rsidR="00C06CA9" w:rsidTr="00AF51AB">
        <w:trPr>
          <w:cantSplit/>
          <w:trHeight w:val="1134"/>
        </w:trPr>
        <w:tc>
          <w:tcPr>
            <w:tcW w:w="1264" w:type="dxa"/>
          </w:tcPr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Name</w:t>
            </w:r>
          </w:p>
          <w:p w:rsidR="00C06CA9" w:rsidRDefault="00C06CA9" w:rsidP="005E13C6">
            <w:pPr>
              <w:jc w:val="center"/>
              <w:rPr>
                <w:sz w:val="20"/>
                <w:szCs w:val="20"/>
              </w:rPr>
            </w:pPr>
            <w:proofErr w:type="spellStart"/>
            <w:r w:rsidRPr="005E13C6">
              <w:rPr>
                <w:sz w:val="20"/>
                <w:szCs w:val="20"/>
                <w:u w:val="single"/>
              </w:rPr>
              <w:t>ElEd</w:t>
            </w:r>
            <w:proofErr w:type="spellEnd"/>
            <w:r>
              <w:rPr>
                <w:sz w:val="20"/>
                <w:szCs w:val="20"/>
              </w:rPr>
              <w:t>:  Elementary Education Major/Degree</w:t>
            </w:r>
          </w:p>
          <w:p w:rsidR="00C06CA9" w:rsidRPr="005E13C6" w:rsidRDefault="00C06CA9" w:rsidP="005E13C6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E13C6">
              <w:rPr>
                <w:sz w:val="20"/>
                <w:szCs w:val="20"/>
                <w:u w:val="single"/>
              </w:rPr>
              <w:t>SecEd</w:t>
            </w:r>
            <w:proofErr w:type="spellEnd"/>
          </w:p>
          <w:p w:rsidR="00C06CA9" w:rsidRPr="005E13C6" w:rsidRDefault="00C06CA9" w:rsidP="005E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Education and Liberal Arts Major/Degree</w:t>
            </w:r>
          </w:p>
        </w:tc>
        <w:tc>
          <w:tcPr>
            <w:tcW w:w="1184" w:type="dxa"/>
          </w:tcPr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Level</w:t>
            </w:r>
          </w:p>
          <w:p w:rsidR="00C06CA9" w:rsidRPr="005E13C6" w:rsidRDefault="00C06CA9" w:rsidP="005E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only, BA</w:t>
            </w:r>
          </w:p>
        </w:tc>
        <w:tc>
          <w:tcPr>
            <w:tcW w:w="1214" w:type="dxa"/>
          </w:tcPr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Current Candidates Enrolled or Admitted</w:t>
            </w:r>
          </w:p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extDirection w:val="tbRl"/>
          </w:tcPr>
          <w:p w:rsidR="00C06CA9" w:rsidRDefault="00C06CA9" w:rsidP="00F9629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and 2013 Program Completers</w:t>
            </w:r>
          </w:p>
        </w:tc>
        <w:tc>
          <w:tcPr>
            <w:tcW w:w="677" w:type="dxa"/>
            <w:textDirection w:val="tbRl"/>
          </w:tcPr>
          <w:p w:rsidR="00C06CA9" w:rsidRDefault="005329A9" w:rsidP="005329A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to Current Candidate Voluntary Withdrawals</w:t>
            </w:r>
          </w:p>
        </w:tc>
        <w:tc>
          <w:tcPr>
            <w:tcW w:w="1530" w:type="dxa"/>
          </w:tcPr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or Association Reviewing Programs</w:t>
            </w:r>
          </w:p>
        </w:tc>
        <w:tc>
          <w:tcPr>
            <w:tcW w:w="1260" w:type="dxa"/>
          </w:tcPr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Report Submitted for National Review</w:t>
            </w:r>
          </w:p>
        </w:tc>
        <w:tc>
          <w:tcPr>
            <w:tcW w:w="1080" w:type="dxa"/>
          </w:tcPr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Approval Status</w:t>
            </w:r>
          </w:p>
        </w:tc>
        <w:tc>
          <w:tcPr>
            <w:tcW w:w="1350" w:type="dxa"/>
          </w:tcPr>
          <w:p w:rsidR="00C06CA9" w:rsidRDefault="00C06CA9" w:rsidP="005E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of National Recognition of Programs by NCATE</w:t>
            </w:r>
          </w:p>
          <w:p w:rsidR="00C06CA9" w:rsidRPr="005E13C6" w:rsidRDefault="00C06CA9" w:rsidP="005E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national recognition with conditions</w:t>
            </w:r>
          </w:p>
        </w:tc>
      </w:tr>
      <w:tr w:rsidR="00C06CA9" w:rsidTr="00AF51AB">
        <w:tc>
          <w:tcPr>
            <w:tcW w:w="126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ElEd</w:t>
            </w:r>
            <w:proofErr w:type="spellEnd"/>
          </w:p>
        </w:tc>
        <w:tc>
          <w:tcPr>
            <w:tcW w:w="118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33 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</w:t>
            </w:r>
          </w:p>
        </w:tc>
        <w:tc>
          <w:tcPr>
            <w:tcW w:w="126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8/1/13</w:t>
            </w:r>
          </w:p>
        </w:tc>
      </w:tr>
      <w:tr w:rsidR="00C06CA9" w:rsidTr="00AF51AB">
        <w:tc>
          <w:tcPr>
            <w:tcW w:w="126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History</w:t>
            </w:r>
          </w:p>
        </w:tc>
        <w:tc>
          <w:tcPr>
            <w:tcW w:w="118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NCSS</w:t>
            </w:r>
          </w:p>
        </w:tc>
        <w:tc>
          <w:tcPr>
            <w:tcW w:w="126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2/1/13</w:t>
            </w:r>
          </w:p>
        </w:tc>
      </w:tr>
      <w:tr w:rsidR="00C06CA9" w:rsidTr="00AF51AB">
        <w:tc>
          <w:tcPr>
            <w:tcW w:w="126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Health and Movement Studies</w:t>
            </w:r>
          </w:p>
        </w:tc>
        <w:tc>
          <w:tcPr>
            <w:tcW w:w="118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C06CA9" w:rsidRPr="005E13C6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AAHE (health)</w:t>
            </w:r>
          </w:p>
          <w:p w:rsidR="00832A3A" w:rsidRPr="005E13C6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NASPE (physical education)</w:t>
            </w:r>
          </w:p>
        </w:tc>
        <w:tc>
          <w:tcPr>
            <w:tcW w:w="126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2/1/13</w:t>
            </w:r>
          </w:p>
        </w:tc>
      </w:tr>
      <w:tr w:rsidR="00C06CA9" w:rsidTr="00AF51AB">
        <w:tc>
          <w:tcPr>
            <w:tcW w:w="126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 Mathematics</w:t>
            </w:r>
          </w:p>
        </w:tc>
        <w:tc>
          <w:tcPr>
            <w:tcW w:w="118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NCTM</w:t>
            </w:r>
          </w:p>
        </w:tc>
        <w:tc>
          <w:tcPr>
            <w:tcW w:w="126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8/1/12</w:t>
            </w:r>
          </w:p>
        </w:tc>
      </w:tr>
      <w:tr w:rsidR="00C06CA9" w:rsidTr="00AF51AB">
        <w:tc>
          <w:tcPr>
            <w:tcW w:w="126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English</w:t>
            </w:r>
          </w:p>
        </w:tc>
        <w:tc>
          <w:tcPr>
            <w:tcW w:w="118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NCTE</w:t>
            </w:r>
          </w:p>
        </w:tc>
        <w:tc>
          <w:tcPr>
            <w:tcW w:w="126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2/1/13</w:t>
            </w:r>
          </w:p>
        </w:tc>
      </w:tr>
      <w:tr w:rsidR="00C06CA9" w:rsidTr="00AF51AB">
        <w:tc>
          <w:tcPr>
            <w:tcW w:w="126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Art Studio</w:t>
            </w:r>
          </w:p>
        </w:tc>
        <w:tc>
          <w:tcPr>
            <w:tcW w:w="118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IDOE</w:t>
            </w:r>
          </w:p>
        </w:tc>
        <w:tc>
          <w:tcPr>
            <w:tcW w:w="126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9208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2/15/12</w:t>
            </w:r>
          </w:p>
        </w:tc>
      </w:tr>
      <w:tr w:rsidR="00C06CA9" w:rsidTr="00AF51AB">
        <w:tc>
          <w:tcPr>
            <w:tcW w:w="126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Political Science</w:t>
            </w:r>
          </w:p>
        </w:tc>
        <w:tc>
          <w:tcPr>
            <w:tcW w:w="118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NCSS</w:t>
            </w:r>
          </w:p>
        </w:tc>
        <w:tc>
          <w:tcPr>
            <w:tcW w:w="126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 enrollment</w:t>
            </w:r>
          </w:p>
        </w:tc>
      </w:tr>
      <w:tr w:rsidR="00C06CA9" w:rsidTr="00AF51AB">
        <w:tc>
          <w:tcPr>
            <w:tcW w:w="126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Economics</w:t>
            </w:r>
          </w:p>
        </w:tc>
        <w:tc>
          <w:tcPr>
            <w:tcW w:w="118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NCSS</w:t>
            </w:r>
          </w:p>
        </w:tc>
        <w:tc>
          <w:tcPr>
            <w:tcW w:w="1260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Pr="005E13C6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Dormant (no graduates in last 3 years)</w:t>
            </w:r>
          </w:p>
        </w:tc>
      </w:tr>
      <w:tr w:rsidR="00C06CA9" w:rsidTr="00AF51AB">
        <w:tc>
          <w:tcPr>
            <w:tcW w:w="126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Biology</w:t>
            </w:r>
          </w:p>
        </w:tc>
        <w:tc>
          <w:tcPr>
            <w:tcW w:w="118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Default="00AF51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NSTA</w:t>
            </w:r>
          </w:p>
        </w:tc>
        <w:tc>
          <w:tcPr>
            <w:tcW w:w="1260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Dormant (no graduates in last 3 years)</w:t>
            </w:r>
          </w:p>
        </w:tc>
      </w:tr>
      <w:tr w:rsidR="00C06CA9" w:rsidTr="00AF51AB">
        <w:tc>
          <w:tcPr>
            <w:tcW w:w="126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Chemistry</w:t>
            </w:r>
          </w:p>
        </w:tc>
        <w:tc>
          <w:tcPr>
            <w:tcW w:w="118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49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C06CA9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NSTA</w:t>
            </w:r>
          </w:p>
        </w:tc>
        <w:tc>
          <w:tcPr>
            <w:tcW w:w="1260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C06CA9" w:rsidRDefault="00C06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C06CA9" w:rsidRDefault="00DD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 enrollment</w:t>
            </w:r>
            <w:bookmarkStart w:id="0" w:name="_GoBack"/>
            <w:bookmarkEnd w:id="0"/>
          </w:p>
        </w:tc>
      </w:tr>
      <w:tr w:rsidR="00832A3A" w:rsidTr="00AF51AB">
        <w:tc>
          <w:tcPr>
            <w:tcW w:w="1264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Spanish</w:t>
            </w:r>
          </w:p>
        </w:tc>
        <w:tc>
          <w:tcPr>
            <w:tcW w:w="1184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49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ACTFL</w:t>
            </w:r>
          </w:p>
        </w:tc>
        <w:tc>
          <w:tcPr>
            <w:tcW w:w="1260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</w:tc>
        <w:tc>
          <w:tcPr>
            <w:tcW w:w="1080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832A3A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Dormant (no graduates in last 3 years)</w:t>
            </w:r>
          </w:p>
        </w:tc>
      </w:tr>
      <w:tr w:rsidR="00832A3A" w:rsidTr="00AF51AB">
        <w:tc>
          <w:tcPr>
            <w:tcW w:w="1264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German</w:t>
            </w:r>
          </w:p>
        </w:tc>
        <w:tc>
          <w:tcPr>
            <w:tcW w:w="1184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214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49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ACTFL</w:t>
            </w:r>
          </w:p>
        </w:tc>
        <w:tc>
          <w:tcPr>
            <w:tcW w:w="1260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832A3A" w:rsidRDefault="00832A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832A3A" w:rsidRDefault="00BE2D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Dormant (no graduates in last 3 years)</w:t>
            </w:r>
          </w:p>
        </w:tc>
      </w:tr>
    </w:tbl>
    <w:p w:rsidR="005E13C6" w:rsidRDefault="005E13C6">
      <w:pPr>
        <w:rPr>
          <w:b/>
          <w:sz w:val="20"/>
          <w:szCs w:val="20"/>
        </w:rPr>
      </w:pPr>
    </w:p>
    <w:p w:rsidR="00A13BBF" w:rsidRPr="00A13BBF" w:rsidRDefault="00A13BBF" w:rsidP="00A13BBF">
      <w:pPr>
        <w:pStyle w:val="NoSpacing"/>
        <w:rPr>
          <w:rFonts w:ascii="Arial Narrow" w:hAnsi="Arial Narrow"/>
          <w:b/>
        </w:rPr>
      </w:pPr>
      <w:r w:rsidRPr="00A13BBF">
        <w:rPr>
          <w:rFonts w:ascii="Arial Narrow" w:hAnsi="Arial Narrow"/>
          <w:b/>
        </w:rPr>
        <w:t>What do the data tell the EPP about its initial teacher preparation programs?</w:t>
      </w:r>
    </w:p>
    <w:p w:rsidR="00EC7797" w:rsidRDefault="00A13BBF" w:rsidP="00A13BB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number of e</w:t>
      </w:r>
      <w:r w:rsidRPr="00A13BBF">
        <w:rPr>
          <w:rFonts w:ascii="Arial Narrow" w:hAnsi="Arial Narrow"/>
          <w:sz w:val="24"/>
          <w:szCs w:val="24"/>
        </w:rPr>
        <w:t xml:space="preserve">lementary education </w:t>
      </w:r>
      <w:r>
        <w:rPr>
          <w:rFonts w:ascii="Arial Narrow" w:hAnsi="Arial Narrow"/>
          <w:sz w:val="24"/>
          <w:szCs w:val="24"/>
        </w:rPr>
        <w:t xml:space="preserve">candidates has increased by 18% in the last two academic years, which seems to resist current concern about </w:t>
      </w:r>
      <w:r w:rsidR="00C06CA9">
        <w:rPr>
          <w:rFonts w:ascii="Arial Narrow" w:hAnsi="Arial Narrow"/>
          <w:sz w:val="24"/>
          <w:szCs w:val="24"/>
        </w:rPr>
        <w:t>attrition in teacher preparation.  The number of secondary candidates who major in history and who want to teach historical perspectives has also incr</w:t>
      </w:r>
      <w:r w:rsidR="00EC7797">
        <w:rPr>
          <w:rFonts w:ascii="Arial Narrow" w:hAnsi="Arial Narrow"/>
          <w:sz w:val="24"/>
          <w:szCs w:val="24"/>
        </w:rPr>
        <w:t>eased by 250%, which perhaps coincides with the</w:t>
      </w:r>
      <w:r w:rsidR="00C06CA9">
        <w:rPr>
          <w:rFonts w:ascii="Arial Narrow" w:hAnsi="Arial Narrow"/>
          <w:sz w:val="24"/>
          <w:szCs w:val="24"/>
        </w:rPr>
        <w:t xml:space="preserve"> notion that there has been an over-population of social studies teachers. </w:t>
      </w:r>
      <w:r w:rsidR="009208C8">
        <w:rPr>
          <w:rFonts w:ascii="Arial Narrow" w:hAnsi="Arial Narrow"/>
          <w:sz w:val="24"/>
          <w:szCs w:val="24"/>
        </w:rPr>
        <w:lastRenderedPageBreak/>
        <w:t>Furthermore, there are almost as many history majors who withdrew from candidacy in the last three years.</w:t>
      </w:r>
      <w:r w:rsidR="00EC7797">
        <w:rPr>
          <w:rFonts w:ascii="Arial Narrow" w:hAnsi="Arial Narrow"/>
          <w:sz w:val="24"/>
          <w:szCs w:val="24"/>
        </w:rPr>
        <w:t xml:space="preserve"> The EPP’s history</w:t>
      </w:r>
      <w:r w:rsidR="00C06CA9">
        <w:rPr>
          <w:rFonts w:ascii="Arial Narrow" w:hAnsi="Arial Narrow"/>
          <w:sz w:val="24"/>
          <w:szCs w:val="24"/>
        </w:rPr>
        <w:t xml:space="preserve"> certification program has also been very difficult to design given the NCSS teacher standards which are broader in scope than the College history major.  </w:t>
      </w:r>
      <w:r w:rsidR="009208C8">
        <w:rPr>
          <w:rFonts w:ascii="Arial Narrow" w:hAnsi="Arial Narrow"/>
          <w:sz w:val="24"/>
          <w:szCs w:val="24"/>
        </w:rPr>
        <w:t>The previous social studies teacher license that included a primary content area and two supporting areas seemed to be more appealing.  The EPP is in the process of proposing a different course of study, given NCSS teacher standards and the interests of the College history department.  The current NCSS program approved with conditions will require</w:t>
      </w:r>
      <w:r w:rsidR="00EC7797">
        <w:rPr>
          <w:rFonts w:ascii="Arial Narrow" w:hAnsi="Arial Narrow"/>
          <w:sz w:val="24"/>
          <w:szCs w:val="24"/>
        </w:rPr>
        <w:t>s</w:t>
      </w:r>
      <w:r w:rsidR="009208C8">
        <w:rPr>
          <w:rFonts w:ascii="Arial Narrow" w:hAnsi="Arial Narrow"/>
          <w:sz w:val="24"/>
          <w:szCs w:val="24"/>
        </w:rPr>
        <w:t xml:space="preserve"> time beyond a 4-year course of study.  This is inconsistent with the interests of the College, teacher candidates, and Indiana Department of Education.  </w:t>
      </w:r>
      <w:r w:rsidR="00C06CA9">
        <w:rPr>
          <w:rFonts w:ascii="Arial Narrow" w:hAnsi="Arial Narrow"/>
          <w:sz w:val="24"/>
          <w:szCs w:val="24"/>
        </w:rPr>
        <w:t xml:space="preserve">Most secondary programs seem to have relatively stable enrollment.  Secondary education for economics and biology have only more recently had enrollment; both programs had been dormant since 2004. </w:t>
      </w:r>
      <w:r w:rsidR="009208C8">
        <w:rPr>
          <w:rFonts w:ascii="Arial Narrow" w:hAnsi="Arial Narrow"/>
          <w:sz w:val="24"/>
          <w:szCs w:val="24"/>
        </w:rPr>
        <w:t xml:space="preserve"> The EPP has five dormant</w:t>
      </w:r>
      <w:r w:rsidR="00C06CA9">
        <w:rPr>
          <w:rFonts w:ascii="Arial Narrow" w:hAnsi="Arial Narrow"/>
          <w:sz w:val="24"/>
          <w:szCs w:val="24"/>
        </w:rPr>
        <w:t xml:space="preserve"> programs that should be submitted for SPA or Indiana</w:t>
      </w:r>
      <w:r w:rsidR="00EC7797">
        <w:rPr>
          <w:rFonts w:ascii="Arial Narrow" w:hAnsi="Arial Narrow"/>
          <w:sz w:val="24"/>
          <w:szCs w:val="24"/>
        </w:rPr>
        <w:t xml:space="preserve"> program</w:t>
      </w:r>
      <w:r w:rsidR="00C06CA9">
        <w:rPr>
          <w:rFonts w:ascii="Arial Narrow" w:hAnsi="Arial Narrow"/>
          <w:sz w:val="24"/>
          <w:szCs w:val="24"/>
        </w:rPr>
        <w:t xml:space="preserve"> revie</w:t>
      </w:r>
      <w:r w:rsidR="00382A85">
        <w:rPr>
          <w:rFonts w:ascii="Arial Narrow" w:hAnsi="Arial Narrow"/>
          <w:sz w:val="24"/>
          <w:szCs w:val="24"/>
        </w:rPr>
        <w:t>w.  The government program</w:t>
      </w:r>
      <w:r w:rsidR="00AF51AB">
        <w:rPr>
          <w:rFonts w:ascii="Arial Narrow" w:hAnsi="Arial Narrow"/>
          <w:sz w:val="24"/>
          <w:szCs w:val="24"/>
        </w:rPr>
        <w:t xml:space="preserve"> (political science major)</w:t>
      </w:r>
      <w:r w:rsidR="00382A85">
        <w:rPr>
          <w:rFonts w:ascii="Arial Narrow" w:hAnsi="Arial Narrow"/>
          <w:sz w:val="24"/>
          <w:szCs w:val="24"/>
        </w:rPr>
        <w:t xml:space="preserve"> </w:t>
      </w:r>
      <w:r w:rsidR="00AF51AB">
        <w:rPr>
          <w:rFonts w:ascii="Arial Narrow" w:hAnsi="Arial Narrow"/>
          <w:sz w:val="24"/>
          <w:szCs w:val="24"/>
        </w:rPr>
        <w:t>has had one candidat</w:t>
      </w:r>
      <w:r w:rsidR="00EC7797">
        <w:rPr>
          <w:rFonts w:ascii="Arial Narrow" w:hAnsi="Arial Narrow"/>
          <w:sz w:val="24"/>
          <w:szCs w:val="24"/>
        </w:rPr>
        <w:t>e in the program in the past three</w:t>
      </w:r>
      <w:r w:rsidR="00AF51AB">
        <w:rPr>
          <w:rFonts w:ascii="Arial Narrow" w:hAnsi="Arial Narrow"/>
          <w:sz w:val="24"/>
          <w:szCs w:val="24"/>
        </w:rPr>
        <w:t xml:space="preserve"> years.  The current secondary program has 20 candidates in good standing; the 2012-13 cohort totaled 18.  Both elementary and secondary progr</w:t>
      </w:r>
      <w:r w:rsidR="007B5C89">
        <w:rPr>
          <w:rFonts w:ascii="Arial Narrow" w:hAnsi="Arial Narrow"/>
          <w:sz w:val="24"/>
          <w:szCs w:val="24"/>
        </w:rPr>
        <w:t xml:space="preserve">am enrollments at Hanover College have remained </w:t>
      </w:r>
      <w:r w:rsidR="00AF51AB">
        <w:rPr>
          <w:rFonts w:ascii="Arial Narrow" w:hAnsi="Arial Narrow"/>
          <w:sz w:val="24"/>
          <w:szCs w:val="24"/>
        </w:rPr>
        <w:t>stab</w:t>
      </w:r>
      <w:r w:rsidR="007B5C89">
        <w:rPr>
          <w:rFonts w:ascii="Arial Narrow" w:hAnsi="Arial Narrow"/>
          <w:sz w:val="24"/>
          <w:szCs w:val="24"/>
        </w:rPr>
        <w:t>le; the elementary education major has recently experiences a notable increase in number of candidates</w:t>
      </w:r>
      <w:r w:rsidR="00AF51AB">
        <w:rPr>
          <w:rFonts w:ascii="Arial Narrow" w:hAnsi="Arial Narrow"/>
          <w:sz w:val="24"/>
          <w:szCs w:val="24"/>
        </w:rPr>
        <w:t xml:space="preserve">.  The EPP’s Title II goals have included increasing the number of mathematics and science candidates.  Number of teacher candidates in these STEM-related programs has decreased in the current cohort.  </w:t>
      </w:r>
    </w:p>
    <w:p w:rsidR="00A13BBF" w:rsidRPr="00A13BBF" w:rsidRDefault="00AF51AB" w:rsidP="00EC7797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number of voluntary withdrawals between 2012 and now are significant for English and history majors.  </w:t>
      </w:r>
      <w:r w:rsidR="00972576">
        <w:rPr>
          <w:rFonts w:ascii="Arial Narrow" w:hAnsi="Arial Narrow"/>
          <w:sz w:val="24"/>
          <w:szCs w:val="24"/>
        </w:rPr>
        <w:t xml:space="preserve">Each of these former candidates </w:t>
      </w:r>
      <w:proofErr w:type="gramStart"/>
      <w:r w:rsidR="00972576">
        <w:rPr>
          <w:rFonts w:ascii="Arial Narrow" w:hAnsi="Arial Narrow"/>
          <w:sz w:val="24"/>
          <w:szCs w:val="24"/>
        </w:rPr>
        <w:t>are</w:t>
      </w:r>
      <w:proofErr w:type="gramEnd"/>
      <w:r w:rsidR="00972576">
        <w:rPr>
          <w:rFonts w:ascii="Arial Narrow" w:hAnsi="Arial Narrow"/>
          <w:sz w:val="24"/>
          <w:szCs w:val="24"/>
        </w:rPr>
        <w:t xml:space="preserve"> interviewed by a member of the Teacher Education Committee who is not an Education professor.  Candidates’ reasons for withdrawal tend to be varied; 10 of 20 or 50% of candidates withdrawing since 2012 were men.  Eight of 20 or 40% needed some kind of intervention for difficulties that they had as they progressed through Decision Points in their program. </w:t>
      </w:r>
      <w:r w:rsidR="00EC7797">
        <w:rPr>
          <w:rFonts w:ascii="Arial Narrow" w:hAnsi="Arial Narrow"/>
          <w:sz w:val="24"/>
          <w:szCs w:val="24"/>
        </w:rPr>
        <w:t xml:space="preserve"> All eight were coached by an</w:t>
      </w:r>
      <w:r w:rsidR="00972576">
        <w:rPr>
          <w:rFonts w:ascii="Arial Narrow" w:hAnsi="Arial Narrow"/>
          <w:sz w:val="24"/>
          <w:szCs w:val="24"/>
        </w:rPr>
        <w:t xml:space="preserve"> Education </w:t>
      </w:r>
      <w:r w:rsidR="00EC7797">
        <w:rPr>
          <w:rFonts w:ascii="Arial Narrow" w:hAnsi="Arial Narrow"/>
          <w:sz w:val="24"/>
          <w:szCs w:val="24"/>
        </w:rPr>
        <w:t xml:space="preserve">professor.  Three of 20 candidates withdrawing or 15% had grade-average problems in their majors; they could not meet the 2.67 </w:t>
      </w:r>
      <w:proofErr w:type="spellStart"/>
      <w:proofErr w:type="gramStart"/>
      <w:r w:rsidR="00EC7797">
        <w:rPr>
          <w:rFonts w:ascii="Arial Narrow" w:hAnsi="Arial Narrow"/>
          <w:sz w:val="24"/>
          <w:szCs w:val="24"/>
        </w:rPr>
        <w:t>gpa</w:t>
      </w:r>
      <w:proofErr w:type="spellEnd"/>
      <w:proofErr w:type="gramEnd"/>
      <w:r w:rsidR="00EC7797">
        <w:rPr>
          <w:rFonts w:ascii="Arial Narrow" w:hAnsi="Arial Narrow"/>
          <w:sz w:val="24"/>
          <w:szCs w:val="24"/>
        </w:rPr>
        <w:t xml:space="preserve"> requirement for student teaching.  Five of 20 or 25% of candidates withdrawing had difficulty teaching (performance) in the classroom.  </w:t>
      </w:r>
    </w:p>
    <w:sectPr w:rsidR="00A13BBF" w:rsidRPr="00A1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6"/>
    <w:rsid w:val="0009268B"/>
    <w:rsid w:val="001068B8"/>
    <w:rsid w:val="002A7FBF"/>
    <w:rsid w:val="00382A85"/>
    <w:rsid w:val="003929DD"/>
    <w:rsid w:val="005329A9"/>
    <w:rsid w:val="005E13C6"/>
    <w:rsid w:val="007B5C89"/>
    <w:rsid w:val="00832A3A"/>
    <w:rsid w:val="009208C8"/>
    <w:rsid w:val="00972576"/>
    <w:rsid w:val="00A13BBF"/>
    <w:rsid w:val="00AF51AB"/>
    <w:rsid w:val="00B44D76"/>
    <w:rsid w:val="00BE2D54"/>
    <w:rsid w:val="00C06CA9"/>
    <w:rsid w:val="00DD23DB"/>
    <w:rsid w:val="00EC7797"/>
    <w:rsid w:val="00F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3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3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Kay</dc:creator>
  <cp:lastModifiedBy>Williams, Kay</cp:lastModifiedBy>
  <cp:revision>2</cp:revision>
  <cp:lastPrinted>2014-02-18T02:02:00Z</cp:lastPrinted>
  <dcterms:created xsi:type="dcterms:W3CDTF">2014-02-25T01:11:00Z</dcterms:created>
  <dcterms:modified xsi:type="dcterms:W3CDTF">2014-02-25T01:11:00Z</dcterms:modified>
</cp:coreProperties>
</file>